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8"/>
      </w:tblGrid>
      <w:tr w:rsidR="00CF28B4" w:rsidRPr="00376921" w14:paraId="2F8AE36F" w14:textId="77777777" w:rsidTr="00DA36DB">
        <w:trPr>
          <w:trHeight w:val="34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761C1CD4" w14:textId="4F4E616A" w:rsidR="00CF28B4" w:rsidRPr="00376921" w:rsidRDefault="00CF28B4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 – </w:t>
            </w:r>
            <w:r w:rsidR="00833D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da necessidade da contratação</w:t>
            </w:r>
          </w:p>
        </w:tc>
      </w:tr>
      <w:tr w:rsidR="00CF28B4" w:rsidRPr="00376921" w14:paraId="7E8EDD9A" w14:textId="77777777" w:rsidTr="00DA36DB">
        <w:trPr>
          <w:trHeight w:val="263"/>
          <w:jc w:val="center"/>
        </w:trPr>
        <w:tc>
          <w:tcPr>
            <w:tcW w:w="9448" w:type="dxa"/>
            <w:vAlign w:val="center"/>
          </w:tcPr>
          <w:p w14:paraId="7E43DAE2" w14:textId="77777777" w:rsidR="00CB54F8" w:rsidRPr="00376921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10DD6" w14:textId="24CFA1E6" w:rsidR="0091753E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órgão demandante deve descrever a necessidade da contratação, evidenciando o problema identificado e a real necessidade que ele gera, bem como o que se almeja alcançar com a contratação</w:t>
            </w:r>
            <w:r w:rsidR="0011312A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</w:t>
            </w:r>
            <w:r w:rsidR="00A56B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I, IN 40/2020)</w:t>
            </w:r>
            <w:r w:rsidR="005D21C8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A56B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CE49C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3EEAFA56" w14:textId="77777777" w:rsidR="005C5992" w:rsidRPr="00376921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F4256A7" w14:textId="77777777" w:rsidR="00E92715" w:rsidRPr="00376921" w:rsidRDefault="00E92715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 acordo com o art. 7o, §2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da IN 40/2020, é obrigatório o preenchimento deste</w:t>
            </w:r>
            <w:r w:rsidR="00FF22A3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6FDFFA36" w14:textId="10E07DAF" w:rsidR="00CE49CA" w:rsidRPr="00376921" w:rsidRDefault="00CE49CA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152853C1" w14:textId="77777777" w:rsidTr="00DA36DB">
        <w:trPr>
          <w:trHeight w:val="282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3C75FAEE" w14:textId="64B47DB3" w:rsidR="00CF28B4" w:rsidRPr="00376921" w:rsidRDefault="00E92715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II – Descrição dos </w:t>
            </w:r>
            <w:r w:rsidR="00200AC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requisitos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</w:t>
            </w:r>
            <w:r w:rsidR="00200AC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 </w:t>
            </w:r>
          </w:p>
        </w:tc>
      </w:tr>
      <w:tr w:rsidR="00CF28B4" w:rsidRPr="00376921" w14:paraId="38AE544C" w14:textId="77777777" w:rsidTr="00DA36DB">
        <w:trPr>
          <w:trHeight w:val="263"/>
          <w:jc w:val="center"/>
        </w:trPr>
        <w:tc>
          <w:tcPr>
            <w:tcW w:w="9448" w:type="dxa"/>
            <w:vAlign w:val="center"/>
          </w:tcPr>
          <w:p w14:paraId="4721DE0B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6C3E8" w14:textId="217AAF59" w:rsidR="00700AAA" w:rsidRPr="00376921" w:rsidRDefault="00E92715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Especificar quais são os requisitos indispensáveis de que o objeto a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contratada. </w:t>
            </w:r>
            <w:r w:rsidR="00BA76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II, IN 40/2020)</w:t>
            </w:r>
            <w:r w:rsidR="00032535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</w:t>
            </w:r>
            <w:r w:rsidR="00496FE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retirá-lo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após o preenchimento deste campo. </w:t>
            </w:r>
          </w:p>
          <w:p w14:paraId="5C96D06B" w14:textId="3EA771D5" w:rsidR="005C5992" w:rsidRPr="00376921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7BF242A" w14:textId="66A520F9" w:rsidR="00CB54F8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facultativo o preenchimento deste campo. Em caso do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não preenchimento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devem ser apresentadas as devidas justificativas.</w:t>
            </w:r>
          </w:p>
          <w:p w14:paraId="2ADB4337" w14:textId="77777777" w:rsidR="00CB54F8" w:rsidRPr="00376921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69EA2C76" w14:textId="77777777" w:rsidTr="00DA36DB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12E4ADBF" w14:textId="783E081F" w:rsidR="005C5992" w:rsidRPr="00376921" w:rsidRDefault="00F73D6C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III</w:t>
            </w:r>
            <w:r w:rsidR="00833D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Levantamento de mercado</w:t>
            </w:r>
            <w:r w:rsidR="00A81CF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F28B4" w:rsidRPr="00376921" w14:paraId="24129F76" w14:textId="77777777" w:rsidTr="00DA36DB">
        <w:trPr>
          <w:trHeight w:val="263"/>
          <w:jc w:val="center"/>
        </w:trPr>
        <w:tc>
          <w:tcPr>
            <w:tcW w:w="9448" w:type="dxa"/>
            <w:vAlign w:val="center"/>
          </w:tcPr>
          <w:p w14:paraId="57B88DEC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97584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 levantamento de mercado consiste na prospecção e análise das alternativas possíveis de soluções, podendo, entre outras opções: </w:t>
            </w:r>
          </w:p>
          <w:p w14:paraId="778E4089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74EC414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      </w:r>
          </w:p>
          <w:p w14:paraId="13C4F3EF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5CEC1F0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b) ser realizada consulta, audiência pública ou realizar diálogo transparente com potenciais contratadas, para coleta de contribuições. </w:t>
            </w:r>
          </w:p>
          <w:p w14:paraId="67F2CACF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85B50FF" w14:textId="419A66E0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Caso, após o levantamento do mercado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 quantidade de fornecedores for considerada restrita, deve-se verificar se os requisitos que limitam a participação são realmente indispensáveis, flexibilizando-os sempre que possível</w:t>
            </w:r>
            <w:r w:rsidR="00BA76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III, </w:t>
            </w:r>
            <w:r w:rsidR="0090678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c/</w:t>
            </w:r>
            <w:r w:rsidR="00155A98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0678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155A98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§1º</w:t>
            </w:r>
            <w:r w:rsidR="0090678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="00BA76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 40/2020)</w:t>
            </w:r>
            <w:r w:rsidR="005D21C8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5B6971B8" w14:textId="77777777" w:rsidR="00700AAA" w:rsidRPr="00376921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B8C863F" w14:textId="01BC72E8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dade de orientação, assim retirá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123F32C3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8B1A70" w14:textId="33634C63" w:rsidR="00CB54F8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C820BFB" w14:textId="77777777" w:rsidR="00CB54F8" w:rsidRPr="00376921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2C0A631F" w14:textId="77777777" w:rsidTr="00DA36DB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797C2E55" w14:textId="672CE165" w:rsidR="00CF28B4" w:rsidRPr="00376921" w:rsidRDefault="00F73D6C" w:rsidP="0091753E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833D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 - Descrição da solução como um todo</w:t>
            </w:r>
            <w:r w:rsidR="002317D9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30883" w:rsidRPr="00376921" w14:paraId="174D735D" w14:textId="77777777" w:rsidTr="00530883">
        <w:trPr>
          <w:trHeight w:val="263"/>
          <w:jc w:val="center"/>
        </w:trPr>
        <w:tc>
          <w:tcPr>
            <w:tcW w:w="9448" w:type="dxa"/>
            <w:shd w:val="clear" w:color="auto" w:fill="auto"/>
            <w:vAlign w:val="center"/>
          </w:tcPr>
          <w:p w14:paraId="5946FED6" w14:textId="77777777" w:rsidR="0084274C" w:rsidRPr="00376921" w:rsidRDefault="0084274C" w:rsidP="00530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3EFF7AF" w14:textId="30CAEE13" w:rsidR="00530883" w:rsidRPr="00376921" w:rsidRDefault="00530883" w:rsidP="00530883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Definir a descrição da solução como um todo, inclusive das exigências relacionadas à manutenção e à assistência técnica, quando for o caso, acompanhada das justificativas técnica e econômica da escolha do tipo de solução (art. 7º, IV, IN 40/2020). 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O presente texto tem a finalidade de orientação, assim retirá-lo após o preenchimento deste campo. </w:t>
            </w:r>
          </w:p>
          <w:p w14:paraId="47FDAA86" w14:textId="77777777" w:rsidR="00530883" w:rsidRPr="00376921" w:rsidRDefault="00530883" w:rsidP="00530883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</w:p>
          <w:p w14:paraId="7E4836C4" w14:textId="77777777" w:rsidR="00530883" w:rsidRPr="00376921" w:rsidRDefault="00530883" w:rsidP="00530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CDF8DBE" w14:textId="13AB3255" w:rsidR="00530883" w:rsidRPr="00376921" w:rsidRDefault="00530883" w:rsidP="00530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 acordo com o art. 7o, §2o, da IN 40/2020, é obrigatório o preenchimento deste campo</w:t>
            </w:r>
            <w:r w:rsidR="0084274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</w:tbl>
    <w:p w14:paraId="5ED0930F" w14:textId="77777777" w:rsidR="00DA36DB" w:rsidRPr="00376921" w:rsidRDefault="00DA36DB" w:rsidP="0091753E">
      <w:pPr>
        <w:jc w:val="both"/>
        <w:rPr>
          <w:rFonts w:ascii="Arial" w:hAnsi="Arial" w:cs="Arial"/>
          <w:sz w:val="20"/>
          <w:szCs w:val="20"/>
        </w:rPr>
        <w:sectPr w:rsidR="00DA36DB" w:rsidRPr="00376921" w:rsidSect="00EF69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20" w:bottom="720" w:left="720" w:header="421" w:footer="0" w:gutter="0"/>
          <w:cols w:space="708"/>
          <w:docGrid w:linePitch="360"/>
        </w:sectPr>
      </w:pPr>
    </w:p>
    <w:tbl>
      <w:tblPr>
        <w:tblStyle w:val="Tabelacomgrade"/>
        <w:tblW w:w="9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CF28B4" w:rsidRPr="00376921" w14:paraId="24CAFA36" w14:textId="77777777" w:rsidTr="008347C9">
        <w:trPr>
          <w:trHeight w:val="248"/>
          <w:jc w:val="center"/>
        </w:trPr>
        <w:tc>
          <w:tcPr>
            <w:tcW w:w="9513" w:type="dxa"/>
            <w:vAlign w:val="center"/>
          </w:tcPr>
          <w:p w14:paraId="2CFDEF1D" w14:textId="78F98755" w:rsidR="002B5F47" w:rsidRPr="00376921" w:rsidRDefault="002B5F4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CA" w:rsidRPr="00376921" w14:paraId="42ECED52" w14:textId="77777777" w:rsidTr="008347C9">
        <w:trPr>
          <w:trHeight w:val="254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07EDA559" w14:textId="2E909701" w:rsidR="00CE49CA" w:rsidRPr="00376921" w:rsidRDefault="00CE49CA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V - Estimativa das quantidades a serem contratadas</w:t>
            </w:r>
          </w:p>
        </w:tc>
      </w:tr>
      <w:tr w:rsidR="00CF28B4" w:rsidRPr="00376921" w14:paraId="2A1FD14C" w14:textId="77777777" w:rsidTr="008347C9">
        <w:trPr>
          <w:trHeight w:val="254"/>
          <w:jc w:val="center"/>
        </w:trPr>
        <w:tc>
          <w:tcPr>
            <w:tcW w:w="9513" w:type="dxa"/>
            <w:vAlign w:val="center"/>
          </w:tcPr>
          <w:p w14:paraId="3435FC50" w14:textId="77777777" w:rsidR="00CE49CA" w:rsidRPr="00376921" w:rsidRDefault="00CE49CA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FF817" w14:textId="0AF355FA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 observância ao disposto no Art. 15, § 7°, II, da Lei n° 8.666/93, as quantidades a serem adquiridas devem ser justificadas em função do consumo e provável utilização, devendo a estimativa ser obtida, a partir de fatos concretos (</w:t>
            </w:r>
            <w:proofErr w:type="spellStart"/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Ex</w:t>
            </w:r>
            <w:proofErr w:type="spellEnd"/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 série histórica do consumo - atendo-se a eventual ocorrência vindoura capaz de impactar o quantitativo demandado, criação de órgão, acréscimo de atividades, necessidade de substituição de bens atualmente disponíveis, etc</w:t>
            </w:r>
            <w:r w:rsidR="002E5CB0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). </w:t>
            </w:r>
          </w:p>
          <w:p w14:paraId="68FD7DD1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FD0B79B" w14:textId="62A43B03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estimativa das quantidades a serem contratadas deve ser acompanhada das memórias de cálculo e dos documentos que lhe dão suporte, considerando a interdependência com outras contratações, de modo a possibilitar economia de escala. </w:t>
            </w:r>
          </w:p>
          <w:p w14:paraId="111C6C7C" w14:textId="0A7A7E75" w:rsidR="002E5CB0" w:rsidRPr="00376921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85204D4" w14:textId="27FE7ED3" w:rsidR="002E5CB0" w:rsidRPr="00376921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Importante relacionar as quantidades a serem contratadas com as unidades de medida e periodicidade para fornecimento estabelecidas </w:t>
            </w:r>
            <w:r w:rsidR="00982E45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</w:t>
            </w:r>
            <w:r w:rsidR="00A91D1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V</w:t>
            </w:r>
            <w:r w:rsidR="00982E45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 IN 40/2020)</w:t>
            </w:r>
            <w:r w:rsidR="002B5F4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69542277" w14:textId="01EA7E09" w:rsidR="00700AAA" w:rsidRPr="00376921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682189" w14:textId="5815FA1E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52098BD" w14:textId="77777777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9065ED" w14:textId="3839D254" w:rsidR="00E92715" w:rsidRPr="00376921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campo. </w:t>
            </w:r>
          </w:p>
          <w:p w14:paraId="74A2F1B6" w14:textId="77777777" w:rsidR="00D10D97" w:rsidRPr="00376921" w:rsidRDefault="00D10D9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0A95D736" w14:textId="77777777" w:rsidTr="008347C9">
        <w:trPr>
          <w:trHeight w:val="320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21AD25F4" w14:textId="4CCA2084" w:rsidR="00F73D6C" w:rsidRPr="00376921" w:rsidRDefault="00833D5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VI - </w:t>
            </w:r>
            <w:r w:rsidR="00A81CF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stimativa do 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da contratação </w:t>
            </w:r>
          </w:p>
        </w:tc>
      </w:tr>
      <w:tr w:rsidR="00CF28B4" w:rsidRPr="00376921" w14:paraId="1A119E75" w14:textId="77777777" w:rsidTr="008347C9">
        <w:trPr>
          <w:trHeight w:val="254"/>
          <w:jc w:val="center"/>
        </w:trPr>
        <w:tc>
          <w:tcPr>
            <w:tcW w:w="9513" w:type="dxa"/>
            <w:vAlign w:val="center"/>
          </w:tcPr>
          <w:p w14:paraId="316DF6BA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5C173" w14:textId="672B38F5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="002E5CB0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</w:t>
            </w:r>
          </w:p>
          <w:p w14:paraId="00350924" w14:textId="0DAC6068" w:rsidR="002E5CB0" w:rsidRPr="00376921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10425CF" w14:textId="7A677252" w:rsidR="002E5CB0" w:rsidRPr="00376921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estimativa de valor da contratação realizada no ETP visa</w:t>
            </w:r>
            <w:r w:rsidR="002B5F4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levantar o eventual gasto com a solução escolhida de modo a avaliar a viabilidade econômica da opção. Essa estimativa não se confunde com os procedimentos e parâmetros de uma pesquisa de preços, para fins de verificação da conformidade /aceitabilidade da proposta</w:t>
            </w:r>
            <w:r w:rsidR="00492908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VI, IN 40/2020)</w:t>
            </w:r>
            <w:r w:rsidR="002B5F4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7C41285B" w14:textId="77777777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</w:p>
          <w:p w14:paraId="406B5800" w14:textId="4E565676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D99BC3B" w14:textId="77777777" w:rsidR="00700AAA" w:rsidRPr="00376921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B0B0715" w14:textId="67FC389C" w:rsidR="00D10D97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="005C599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011B9436" w14:textId="77777777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4D8D75CE" w14:textId="77777777" w:rsidTr="008347C9">
        <w:trPr>
          <w:trHeight w:val="269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30F8A2E2" w14:textId="4D54D8EF" w:rsidR="00F73D6C" w:rsidRPr="00376921" w:rsidRDefault="00833D5C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VII -</w:t>
            </w:r>
            <w:r w:rsidR="00A81CF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J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ustificativas para o parcelamento ou não da solução</w:t>
            </w:r>
          </w:p>
        </w:tc>
      </w:tr>
      <w:tr w:rsidR="00CF28B4" w:rsidRPr="00376921" w14:paraId="144733FC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46ED3CC9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1BE31" w14:textId="77777777" w:rsidR="00591FF2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</w:t>
            </w:r>
          </w:p>
          <w:p w14:paraId="732A291A" w14:textId="77777777" w:rsidR="00591FF2" w:rsidRPr="00376921" w:rsidRDefault="00591FF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A8A19A1" w14:textId="3B646800" w:rsidR="00087AD9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Por ser o parcelamento a regra, deve haver justificativa quando este não for adotado </w:t>
            </w:r>
            <w:r w:rsidR="000926D5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VII, IN 40/2020)</w:t>
            </w:r>
            <w:r w:rsidR="002B5F4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2C91FE49" w14:textId="28056AF8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2755D1E1" w14:textId="77777777" w:rsidR="00087AD9" w:rsidRPr="00376921" w:rsidRDefault="00087AD9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CFAA78" w14:textId="182A26BC" w:rsidR="00BE1536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2E5CB0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241CAC93" w14:textId="77777777" w:rsidR="00797403" w:rsidRPr="00376921" w:rsidRDefault="00797403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2CB8201" w14:textId="77777777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07B14EC8" w14:textId="77777777" w:rsidTr="008347C9">
        <w:trPr>
          <w:trHeight w:val="254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0AA2194D" w14:textId="634E456C" w:rsidR="00F73D6C" w:rsidRPr="00376921" w:rsidRDefault="00F73D6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VIII</w:t>
            </w:r>
            <w:r w:rsidR="00A81CF2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C</w:t>
            </w:r>
            <w:r w:rsidR="00833D5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ontratações c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orrelatas e/ou interdependentes</w:t>
            </w:r>
          </w:p>
        </w:tc>
      </w:tr>
      <w:tr w:rsidR="00CF28B4" w:rsidRPr="00376921" w14:paraId="582E27CC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3827FDC9" w14:textId="77777777" w:rsidR="00B15FEE" w:rsidRPr="00376921" w:rsidRDefault="00B15FE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369D8" w14:textId="711F7CA4" w:rsidR="00700AAA" w:rsidRPr="00376921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 se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há</w:t>
            </w:r>
            <w:r w:rsidR="005671F4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contratações que guardam relação/afinidade com o objeto da contratação pretendida</w:t>
            </w:r>
            <w:r w:rsidR="005671F4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sejam elas já realizadas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ou contratações futuras </w:t>
            </w:r>
            <w:r w:rsidR="000926D5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VIII, IN 40/2020)</w:t>
            </w:r>
            <w:r w:rsidR="002B5F4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3C3B55E9" w14:textId="77777777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E5771C" w14:textId="77777777" w:rsidR="000C67A6" w:rsidRPr="00376921" w:rsidRDefault="0091753E" w:rsidP="000C67A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facultativo o preenchimento deste campo. Em caso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do não preenchimento, devem ser apresentadas as devidas justificativas.</w:t>
            </w:r>
          </w:p>
          <w:p w14:paraId="37CA8769" w14:textId="12CC5804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BCEED" w14:textId="34979F64" w:rsidR="00801F24" w:rsidRPr="00376921" w:rsidRDefault="00801F2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55F48206" w14:textId="77777777" w:rsidTr="008347C9">
        <w:trPr>
          <w:trHeight w:val="262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7DB9A4CF" w14:textId="5B7EE0CD" w:rsidR="00F73D6C" w:rsidRPr="00376921" w:rsidRDefault="007B22CA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IX - 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Alinhamento entre a </w:t>
            </w:r>
            <w:r w:rsidR="00200AC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e o </w:t>
            </w:r>
            <w:r w:rsidR="00200AC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lanejamento </w:t>
            </w:r>
          </w:p>
        </w:tc>
      </w:tr>
      <w:tr w:rsidR="00CF28B4" w:rsidRPr="00376921" w14:paraId="22315859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202CFE84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87C41" w14:textId="5A188A58" w:rsidR="00700AAA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Demonstração do alinhamento entre a contratação e o planejamento do órgão ou entidade</w:t>
            </w:r>
            <w:r w:rsidR="000C12A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48F65D3D" w14:textId="3CC184D3" w:rsidR="0091753E" w:rsidRPr="00376921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Plano Anu</w:t>
            </w:r>
            <w:r w:rsidR="00B7611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 de Contrataç</w:t>
            </w:r>
            <w:r w:rsidR="00B7611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ões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ainda será elaborado pelo Poder Judiciário do Estado do Rio de Janeiro, nos termos da Resolução nº 347 de 13 de outubro de 2020 do Conselho Nacional </w:t>
            </w:r>
            <w:r w:rsidR="00B7611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Justiça.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37B2EA41" w14:textId="77777777" w:rsidR="00E72D57" w:rsidRPr="00376921" w:rsidRDefault="00E72D57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679C9CA" w14:textId="71293585" w:rsidR="00BD3AF0" w:rsidRPr="00376921" w:rsidRDefault="0091753E" w:rsidP="0091753E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4C959992" w14:textId="77777777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41791F2E" w14:textId="77777777" w:rsidTr="008347C9">
        <w:trPr>
          <w:trHeight w:val="254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5A170DCC" w14:textId="1C99767B" w:rsidR="00F73D6C" w:rsidRPr="00376921" w:rsidRDefault="007B22CA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 - R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esultados pretendidos</w:t>
            </w:r>
          </w:p>
        </w:tc>
      </w:tr>
      <w:tr w:rsidR="00CF28B4" w:rsidRPr="00376921" w14:paraId="4FAE4815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5EADF9E8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AD6A8" w14:textId="6C571DB8" w:rsidR="00700AAA" w:rsidRPr="00376921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 </w:t>
            </w:r>
            <w:r w:rsidR="00A02FCF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X, IN 40/2020).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3591D16" w14:textId="20E9929B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CBDACBC" w14:textId="77777777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39876AC" w14:textId="7F0B1E53" w:rsidR="00B15FE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B0D7E2C" w14:textId="77777777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376921" w14:paraId="43F1EAD1" w14:textId="77777777" w:rsidTr="008347C9">
        <w:trPr>
          <w:trHeight w:val="290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6C102F42" w14:textId="42CB125F" w:rsidR="00CF28B4" w:rsidRPr="00376921" w:rsidRDefault="007B22CA" w:rsidP="000C6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 - P</w:t>
            </w:r>
            <w:r w:rsidR="006A183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rovidências a serem adotadas </w:t>
            </w:r>
          </w:p>
        </w:tc>
      </w:tr>
      <w:tr w:rsidR="00CF28B4" w:rsidRPr="00376921" w14:paraId="369C3811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32CA26DF" w14:textId="77777777" w:rsidR="00CF28B4" w:rsidRPr="00376921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215C7" w14:textId="3476B392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Informar, </w:t>
            </w:r>
            <w:r w:rsidR="00907AB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 for o caso, as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providências a serem adotadas pela administração previamente à celebração do contrato, inclusive quanto à capacitação de servidores ou de empregados para fiscalização e gestão contratual ou adequação do ambiente da organização </w:t>
            </w:r>
            <w:r w:rsidR="002E62A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XI, IN 40/2020).</w:t>
            </w:r>
          </w:p>
          <w:p w14:paraId="67FA40E0" w14:textId="64773E9E" w:rsidR="00700AAA" w:rsidRPr="00376921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24A21D3" w14:textId="77777777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006DC7" w14:textId="203996A8" w:rsidR="00430E91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088021C5" w14:textId="77777777" w:rsidR="0091753E" w:rsidRPr="00376921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376921" w14:paraId="36BC81BF" w14:textId="77777777" w:rsidTr="008347C9">
        <w:trPr>
          <w:trHeight w:val="254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221FBDAE" w14:textId="2487FCCD" w:rsidR="00F73D6C" w:rsidRPr="00376921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XII - P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ossíveis </w:t>
            </w:r>
            <w:r w:rsidR="00200AC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91753E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mpactos </w:t>
            </w:r>
            <w:r w:rsidR="00AB5EF4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6A183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mbientais</w:t>
            </w:r>
          </w:p>
        </w:tc>
      </w:tr>
      <w:tr w:rsidR="006A183B" w:rsidRPr="00376921" w14:paraId="4DFC9262" w14:textId="77777777" w:rsidTr="008347C9">
        <w:trPr>
          <w:trHeight w:val="269"/>
          <w:jc w:val="center"/>
        </w:trPr>
        <w:tc>
          <w:tcPr>
            <w:tcW w:w="9513" w:type="dxa"/>
            <w:vAlign w:val="center"/>
          </w:tcPr>
          <w:p w14:paraId="78CA4570" w14:textId="77777777" w:rsidR="006A183B" w:rsidRPr="00376921" w:rsidRDefault="006A183B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77741" w14:textId="3DC6C03F" w:rsidR="00E76BBD" w:rsidRPr="00376921" w:rsidRDefault="0091753E" w:rsidP="00E76BBD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Descrever os possíveis impactos ambientais e respectivas medidas de tratamento ou mitigadoras buscando sanar os riscos ambientais existentes </w:t>
            </w:r>
            <w:r w:rsidR="002E62A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XII, IN 40/2020)</w:t>
            </w:r>
            <w:r w:rsidR="000C12AD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E76BBD" w:rsidRPr="0037692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retirá-lo após o preenchimento deste campo. </w:t>
            </w:r>
          </w:p>
          <w:p w14:paraId="08046B0F" w14:textId="17C30B5C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60BA666" w14:textId="77777777" w:rsidR="0091753E" w:rsidRPr="00376921" w:rsidRDefault="0091753E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6555FFC7" w14:textId="7B1558AB" w:rsidR="00E76BBD" w:rsidRPr="00376921" w:rsidRDefault="00E76BBD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A46822C" w14:textId="7B5729D3" w:rsidR="00CE49CA" w:rsidRPr="00376921" w:rsidRDefault="00CE49CA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376921" w14:paraId="2F1DCEB3" w14:textId="77777777" w:rsidTr="008347C9">
        <w:trPr>
          <w:trHeight w:val="269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6D88AB3A" w14:textId="41FB801B" w:rsidR="00F73D6C" w:rsidRPr="00376921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XIII - P</w:t>
            </w:r>
            <w:r w:rsidR="006A183B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osicionamento conclusivo sobre a viabilidade e razoabilidade da contratação</w:t>
            </w:r>
          </w:p>
        </w:tc>
      </w:tr>
      <w:tr w:rsidR="00430E91" w:rsidRPr="00376921" w14:paraId="305C509E" w14:textId="77777777" w:rsidTr="008347C9">
        <w:trPr>
          <w:trHeight w:val="269"/>
          <w:jc w:val="center"/>
        </w:trPr>
        <w:tc>
          <w:tcPr>
            <w:tcW w:w="9513" w:type="dxa"/>
            <w:shd w:val="clear" w:color="auto" w:fill="auto"/>
            <w:vAlign w:val="center"/>
          </w:tcPr>
          <w:p w14:paraId="258F81F8" w14:textId="77777777" w:rsidR="00430E91" w:rsidRPr="00376921" w:rsidRDefault="00430E91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BE555" w14:textId="5E24C9B4" w:rsidR="00F43CD1" w:rsidRPr="00376921" w:rsidRDefault="0091753E" w:rsidP="00F43CD1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</w:t>
            </w:r>
            <w:r w:rsidR="00836B6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unidade demandante, responsável pelo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planejamento</w:t>
            </w:r>
            <w:r w:rsidR="00836B6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declara</w:t>
            </w:r>
            <w:r w:rsidR="00F73D6C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="00F43CD1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XIII, IN 40/2020)</w:t>
            </w:r>
          </w:p>
          <w:p w14:paraId="15753C7E" w14:textId="77777777" w:rsidR="0091753E" w:rsidRPr="00376921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EB01A7D" w14:textId="77777777" w:rsidR="00F73D6C" w:rsidRPr="00376921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</w:t>
            </w:r>
            <w:r w:rsidR="003329A4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3329A4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) É VIÁVEL a presente contratação.</w:t>
            </w:r>
          </w:p>
          <w:p w14:paraId="535B5F83" w14:textId="3B3C986B" w:rsidR="00430E91" w:rsidRPr="00376921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59CC9C73" w14:textId="77777777" w:rsidR="00430E91" w:rsidRPr="00376921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) NÃO É VIÁVEL a presente contratação.</w:t>
            </w:r>
          </w:p>
          <w:p w14:paraId="64443690" w14:textId="77777777" w:rsidR="003D0C51" w:rsidRPr="00376921" w:rsidRDefault="003D0C5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41775E6" w14:textId="5986B66C" w:rsidR="003D0C51" w:rsidRPr="00376921" w:rsidRDefault="00F43CD1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da IN 40/2020, é obrigatório o preenchimento deste campo. </w:t>
            </w:r>
          </w:p>
          <w:p w14:paraId="201136F6" w14:textId="4F763A28" w:rsidR="000A4772" w:rsidRPr="00376921" w:rsidRDefault="000A4772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5A1F29E" w14:textId="67F80122" w:rsidR="000A4772" w:rsidRPr="00376921" w:rsidRDefault="000A4772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507166" w14:textId="77777777" w:rsidR="000A4772" w:rsidRPr="00376921" w:rsidRDefault="000A4772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1882E13" w14:textId="3D32774C" w:rsidR="00801F24" w:rsidRPr="00376921" w:rsidRDefault="00801F24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F73D6C" w:rsidRPr="00376921" w14:paraId="1E86594A" w14:textId="77777777" w:rsidTr="008347C9">
        <w:trPr>
          <w:trHeight w:val="288"/>
          <w:jc w:val="center"/>
        </w:trPr>
        <w:tc>
          <w:tcPr>
            <w:tcW w:w="9513" w:type="dxa"/>
            <w:shd w:val="clear" w:color="auto" w:fill="17365D" w:themeFill="text2" w:themeFillShade="BF"/>
            <w:vAlign w:val="center"/>
          </w:tcPr>
          <w:p w14:paraId="0D695FA1" w14:textId="0E46B3E1" w:rsidR="00F73D6C" w:rsidRPr="00376921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XIV – </w:t>
            </w:r>
            <w:r w:rsidR="001E1D07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Unidade Organizacional Demandante</w:t>
            </w:r>
            <w:r w:rsidR="00FF22A3" w:rsidRPr="0037692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(área requisitante)</w:t>
            </w:r>
          </w:p>
        </w:tc>
      </w:tr>
      <w:tr w:rsidR="00F73D6C" w:rsidRPr="00376921" w14:paraId="25D4362C" w14:textId="77777777" w:rsidTr="008347C9">
        <w:trPr>
          <w:trHeight w:val="288"/>
          <w:jc w:val="center"/>
        </w:trPr>
        <w:tc>
          <w:tcPr>
            <w:tcW w:w="9513" w:type="dxa"/>
            <w:shd w:val="clear" w:color="auto" w:fill="auto"/>
            <w:vAlign w:val="center"/>
          </w:tcPr>
          <w:p w14:paraId="231C2F65" w14:textId="77777777" w:rsidR="00F73D6C" w:rsidRPr="00376921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9187" w:type="dxa"/>
              <w:tblLook w:val="04A0" w:firstRow="1" w:lastRow="0" w:firstColumn="1" w:lastColumn="0" w:noHBand="0" w:noVBand="1"/>
            </w:tblPr>
            <w:tblGrid>
              <w:gridCol w:w="9187"/>
            </w:tblGrid>
            <w:tr w:rsidR="00B7611D" w:rsidRPr="00376921" w14:paraId="68D8C3C9" w14:textId="77777777" w:rsidTr="007D678E">
              <w:tc>
                <w:tcPr>
                  <w:tcW w:w="9187" w:type="dxa"/>
                  <w:shd w:val="clear" w:color="auto" w:fill="BFBFBF" w:themeFill="background1" w:themeFillShade="BF"/>
                  <w:vAlign w:val="center"/>
                </w:tcPr>
                <w:p w14:paraId="14AD0762" w14:textId="77777777" w:rsidR="00B7611D" w:rsidRPr="00376921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37692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Unidade Organizacional Demandante</w:t>
                  </w:r>
                </w:p>
                <w:p w14:paraId="0B53026C" w14:textId="4CEBFF46" w:rsidR="00B7611D" w:rsidRPr="00376921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37692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(Área requisitante)</w:t>
                  </w:r>
                </w:p>
              </w:tc>
            </w:tr>
            <w:tr w:rsidR="00B7611D" w:rsidRPr="00376921" w14:paraId="71317948" w14:textId="77777777" w:rsidTr="007D678E">
              <w:trPr>
                <w:trHeight w:val="486"/>
              </w:trPr>
              <w:tc>
                <w:tcPr>
                  <w:tcW w:w="9187" w:type="dxa"/>
                </w:tcPr>
                <w:p w14:paraId="5EDBF5C5" w14:textId="77777777" w:rsidR="00B7611D" w:rsidRPr="00376921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206B180" w14:textId="77777777" w:rsidR="00F73D6C" w:rsidRPr="00376921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4DA3510E" w14:textId="7859B72C" w:rsidR="00F73D6C" w:rsidRPr="00376921" w:rsidRDefault="00B7611D" w:rsidP="00B7611D">
      <w:pPr>
        <w:tabs>
          <w:tab w:val="left" w:pos="600"/>
          <w:tab w:val="center" w:pos="5233"/>
          <w:tab w:val="left" w:pos="8925"/>
        </w:tabs>
        <w:jc w:val="left"/>
        <w:rPr>
          <w:rFonts w:ascii="Arial" w:hAnsi="Arial" w:cs="Arial"/>
          <w:b/>
          <w:sz w:val="24"/>
          <w:szCs w:val="24"/>
        </w:rPr>
      </w:pPr>
      <w:r w:rsidRPr="00376921">
        <w:rPr>
          <w:rFonts w:ascii="Arial" w:hAnsi="Arial" w:cs="Arial"/>
          <w:b/>
          <w:sz w:val="24"/>
          <w:szCs w:val="24"/>
        </w:rPr>
        <w:tab/>
      </w:r>
      <w:r w:rsidRPr="00376921">
        <w:rPr>
          <w:rFonts w:ascii="Arial" w:hAnsi="Arial" w:cs="Arial"/>
          <w:b/>
          <w:sz w:val="24"/>
          <w:szCs w:val="24"/>
        </w:rPr>
        <w:tab/>
      </w:r>
      <w:r w:rsidRPr="00376921">
        <w:rPr>
          <w:rFonts w:ascii="Arial" w:hAnsi="Arial" w:cs="Arial"/>
          <w:b/>
          <w:sz w:val="24"/>
          <w:szCs w:val="24"/>
        </w:rPr>
        <w:tab/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7611D" w:rsidRPr="00376921" w14:paraId="33DC4B02" w14:textId="77777777" w:rsidTr="007D678E">
        <w:trPr>
          <w:trHeight w:val="638"/>
        </w:trPr>
        <w:tc>
          <w:tcPr>
            <w:tcW w:w="9214" w:type="dxa"/>
            <w:shd w:val="clear" w:color="auto" w:fill="FFFFFF"/>
          </w:tcPr>
          <w:p w14:paraId="7C1837AA" w14:textId="77777777" w:rsidR="00B7611D" w:rsidRPr="00376921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76921">
              <w:rPr>
                <w:rFonts w:ascii="Arial" w:hAnsi="Arial" w:cs="Arial"/>
                <w:b/>
                <w:color w:val="000000"/>
              </w:rPr>
              <w:t>Gestor do Contrato</w:t>
            </w:r>
            <w:r w:rsidRPr="00376921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81C6261" w14:textId="77777777" w:rsidR="00B7611D" w:rsidRPr="00376921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7611D" w:rsidRPr="00376921" w14:paraId="5E5CEB51" w14:textId="77777777" w:rsidTr="007D678E">
        <w:trPr>
          <w:trHeight w:val="638"/>
        </w:trPr>
        <w:tc>
          <w:tcPr>
            <w:tcW w:w="9214" w:type="dxa"/>
            <w:shd w:val="clear" w:color="auto" w:fill="FFFFFF"/>
          </w:tcPr>
          <w:p w14:paraId="25366C03" w14:textId="77777777" w:rsidR="00B7611D" w:rsidRPr="00376921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376921">
              <w:rPr>
                <w:rFonts w:ascii="Arial" w:hAnsi="Arial" w:cs="Arial"/>
                <w:b/>
              </w:rPr>
              <w:t xml:space="preserve">Integrantes da Unidade Demandante </w:t>
            </w:r>
            <w:r w:rsidRPr="00376921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376921" w14:paraId="6F36F232" w14:textId="77777777" w:rsidTr="007D678E">
        <w:trPr>
          <w:trHeight w:val="638"/>
        </w:trPr>
        <w:tc>
          <w:tcPr>
            <w:tcW w:w="9214" w:type="dxa"/>
            <w:shd w:val="clear" w:color="auto" w:fill="FFFFFF"/>
          </w:tcPr>
          <w:p w14:paraId="2DBC70DF" w14:textId="77777777" w:rsidR="00B7611D" w:rsidRPr="00376921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376921">
              <w:rPr>
                <w:rFonts w:ascii="Arial" w:hAnsi="Arial" w:cs="Arial"/>
                <w:b/>
              </w:rPr>
              <w:t xml:space="preserve">Integrantes da Unidade Técnica </w:t>
            </w:r>
            <w:r w:rsidRPr="00376921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376921" w14:paraId="3EA65BE4" w14:textId="77777777" w:rsidTr="007D678E">
        <w:trPr>
          <w:trHeight w:val="638"/>
        </w:trPr>
        <w:tc>
          <w:tcPr>
            <w:tcW w:w="9214" w:type="dxa"/>
            <w:shd w:val="clear" w:color="auto" w:fill="FFFFFF"/>
          </w:tcPr>
          <w:p w14:paraId="6A28EA03" w14:textId="233916EA" w:rsidR="00B7611D" w:rsidRPr="00376921" w:rsidRDefault="00B7611D" w:rsidP="00923CA1">
            <w:pPr>
              <w:jc w:val="left"/>
              <w:rPr>
                <w:rFonts w:ascii="Arial" w:hAnsi="Arial" w:cs="Arial"/>
                <w:b/>
              </w:rPr>
            </w:pPr>
          </w:p>
          <w:p w14:paraId="6030CCF9" w14:textId="7F952CC2" w:rsidR="00B7611D" w:rsidRPr="00376921" w:rsidRDefault="00B7611D" w:rsidP="00B7611D">
            <w:pPr>
              <w:tabs>
                <w:tab w:val="left" w:pos="1155"/>
                <w:tab w:val="center" w:pos="4537"/>
              </w:tabs>
              <w:rPr>
                <w:rFonts w:ascii="Arial" w:hAnsi="Arial" w:cs="Arial"/>
              </w:rPr>
            </w:pPr>
            <w:r w:rsidRPr="00376921">
              <w:rPr>
                <w:rFonts w:ascii="Arial" w:hAnsi="Arial" w:cs="Arial"/>
              </w:rPr>
              <w:t xml:space="preserve">Rio de Janeiro, ___ de ________________ </w:t>
            </w:r>
            <w:proofErr w:type="spellStart"/>
            <w:r w:rsidRPr="00376921">
              <w:rPr>
                <w:rFonts w:ascii="Arial" w:hAnsi="Arial" w:cs="Arial"/>
              </w:rPr>
              <w:t>de</w:t>
            </w:r>
            <w:proofErr w:type="spellEnd"/>
            <w:r w:rsidRPr="00376921">
              <w:rPr>
                <w:rFonts w:ascii="Arial" w:hAnsi="Arial" w:cs="Arial"/>
              </w:rPr>
              <w:t xml:space="preserve"> ______.</w:t>
            </w:r>
          </w:p>
        </w:tc>
      </w:tr>
    </w:tbl>
    <w:p w14:paraId="63DB6056" w14:textId="77777777" w:rsidR="00B7611D" w:rsidRPr="00376921" w:rsidRDefault="00B7611D" w:rsidP="006A183B">
      <w:pPr>
        <w:rPr>
          <w:rFonts w:ascii="Arial" w:hAnsi="Arial" w:cs="Arial"/>
          <w:b/>
          <w:sz w:val="24"/>
          <w:szCs w:val="24"/>
        </w:rPr>
      </w:pPr>
    </w:p>
    <w:sectPr w:rsidR="00B7611D" w:rsidRPr="00376921" w:rsidSect="00EF696A">
      <w:headerReference w:type="default" r:id="rId14"/>
      <w:pgSz w:w="11906" w:h="16838"/>
      <w:pgMar w:top="426" w:right="720" w:bottom="720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1444" w14:textId="77777777" w:rsidR="007E026E" w:rsidRDefault="007E026E" w:rsidP="00CF28B4">
      <w:r>
        <w:separator/>
      </w:r>
    </w:p>
  </w:endnote>
  <w:endnote w:type="continuationSeparator" w:id="0">
    <w:p w14:paraId="7106D5D4" w14:textId="77777777" w:rsidR="007E026E" w:rsidRDefault="007E026E" w:rsidP="00C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CAE7" w14:textId="77777777" w:rsidR="004C6550" w:rsidRDefault="004C6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22E" w14:textId="1A9D9C8B" w:rsidR="00EF696A" w:rsidRPr="004D68D8" w:rsidRDefault="00CE49CA" w:rsidP="0037596E">
    <w:pPr>
      <w:pStyle w:val="Rodap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FRM</w:t>
    </w:r>
    <w:r w:rsidR="003C0D88">
      <w:rPr>
        <w:rFonts w:ascii="Arial" w:hAnsi="Arial" w:cs="Arial"/>
        <w:sz w:val="16"/>
      </w:rPr>
      <w:t>-</w:t>
    </w:r>
    <w:r w:rsidR="00020FE6">
      <w:rPr>
        <w:rFonts w:ascii="Arial" w:hAnsi="Arial" w:cs="Arial"/>
        <w:sz w:val="16"/>
      </w:rPr>
      <w:t>S</w:t>
    </w:r>
    <w:r w:rsidR="003C0D88">
      <w:rPr>
        <w:rFonts w:ascii="Arial" w:hAnsi="Arial" w:cs="Arial"/>
        <w:sz w:val="16"/>
      </w:rPr>
      <w:t>GLOG</w:t>
    </w:r>
    <w:r>
      <w:rPr>
        <w:rFonts w:ascii="Arial" w:hAnsi="Arial" w:cs="Arial"/>
        <w:sz w:val="16"/>
      </w:rPr>
      <w:t>-092</w:t>
    </w:r>
    <w:r w:rsidR="00CF3B39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03</w:t>
    </w:r>
    <w:r w:rsidR="00EF696A" w:rsidRPr="004D68D8">
      <w:rPr>
        <w:rFonts w:ascii="Arial" w:hAnsi="Arial" w:cs="Arial"/>
        <w:sz w:val="16"/>
      </w:rPr>
      <w:t xml:space="preserve">     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Revisão: 0</w:t>
    </w:r>
    <w:r w:rsidR="00020FE6">
      <w:rPr>
        <w:rFonts w:ascii="Arial" w:hAnsi="Arial" w:cs="Arial"/>
        <w:sz w:val="16"/>
      </w:rPr>
      <w:t>1</w:t>
    </w:r>
    <w:r w:rsidR="00EF696A" w:rsidRPr="004D68D8">
      <w:rPr>
        <w:rFonts w:ascii="Arial" w:hAnsi="Arial" w:cs="Arial"/>
        <w:sz w:val="16"/>
      </w:rPr>
      <w:t xml:space="preserve">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Data: </w:t>
    </w:r>
    <w:r w:rsidR="0057232E">
      <w:rPr>
        <w:rFonts w:ascii="Arial" w:hAnsi="Arial" w:cs="Arial"/>
        <w:bCs/>
        <w:sz w:val="16"/>
      </w:rPr>
      <w:t>20</w:t>
    </w:r>
    <w:r w:rsidR="003C0D88" w:rsidRPr="0057232E">
      <w:rPr>
        <w:rFonts w:ascii="Arial" w:hAnsi="Arial" w:cs="Arial"/>
        <w:bCs/>
        <w:sz w:val="16"/>
      </w:rPr>
      <w:t>/</w:t>
    </w:r>
    <w:r w:rsidR="0057232E">
      <w:rPr>
        <w:rFonts w:ascii="Arial" w:hAnsi="Arial" w:cs="Arial"/>
        <w:bCs/>
        <w:sz w:val="16"/>
      </w:rPr>
      <w:t>03</w:t>
    </w:r>
    <w:r w:rsidR="003C0D88" w:rsidRPr="0057232E">
      <w:rPr>
        <w:rFonts w:ascii="Arial" w:hAnsi="Arial" w:cs="Arial"/>
        <w:bCs/>
        <w:sz w:val="16"/>
      </w:rPr>
      <w:t>/</w:t>
    </w:r>
    <w:r w:rsidR="0037596E" w:rsidRPr="0057232E">
      <w:rPr>
        <w:rFonts w:ascii="Arial" w:hAnsi="Arial" w:cs="Arial"/>
        <w:bCs/>
        <w:sz w:val="16"/>
      </w:rPr>
      <w:t>202</w:t>
    </w:r>
    <w:r w:rsidR="00020FE6" w:rsidRPr="0057232E">
      <w:rPr>
        <w:rFonts w:ascii="Arial" w:hAnsi="Arial" w:cs="Arial"/>
        <w:bCs/>
        <w:sz w:val="16"/>
      </w:rPr>
      <w:t xml:space="preserve">3 </w:t>
    </w:r>
    <w:r w:rsidR="00EF696A" w:rsidRPr="0057232E">
      <w:rPr>
        <w:rFonts w:ascii="Arial" w:hAnsi="Arial" w:cs="Arial"/>
        <w:bCs/>
        <w:sz w:val="16"/>
      </w:rPr>
      <w:t xml:space="preserve">               </w:t>
    </w:r>
    <w:r w:rsidR="0037596E" w:rsidRPr="0057232E">
      <w:rPr>
        <w:rFonts w:ascii="Arial" w:hAnsi="Arial" w:cs="Arial"/>
        <w:bCs/>
        <w:sz w:val="16"/>
      </w:rPr>
      <w:t xml:space="preserve">                                             </w:t>
    </w:r>
    <w:r w:rsidR="00EF696A" w:rsidRPr="004D68D8">
      <w:rPr>
        <w:rFonts w:ascii="Arial" w:hAnsi="Arial" w:cs="Arial"/>
        <w:sz w:val="16"/>
      </w:rPr>
      <w:t xml:space="preserve">Página </w:t>
    </w:r>
    <w:r w:rsidR="00EF696A" w:rsidRPr="0057232E">
      <w:rPr>
        <w:rFonts w:ascii="Arial" w:hAnsi="Arial" w:cs="Arial"/>
        <w:sz w:val="16"/>
      </w:rPr>
      <w:fldChar w:fldCharType="begin"/>
    </w:r>
    <w:r w:rsidR="00EF696A" w:rsidRPr="0057232E">
      <w:rPr>
        <w:rFonts w:ascii="Arial" w:hAnsi="Arial" w:cs="Arial"/>
        <w:sz w:val="16"/>
      </w:rPr>
      <w:instrText>PAGE  \* Arabic  \* MERGEFORMAT</w:instrText>
    </w:r>
    <w:r w:rsidR="00EF696A" w:rsidRPr="0057232E">
      <w:rPr>
        <w:rFonts w:ascii="Arial" w:hAnsi="Arial" w:cs="Arial"/>
        <w:sz w:val="16"/>
      </w:rPr>
      <w:fldChar w:fldCharType="separate"/>
    </w:r>
    <w:r w:rsidR="00376921" w:rsidRPr="0057232E">
      <w:rPr>
        <w:rFonts w:ascii="Arial" w:hAnsi="Arial" w:cs="Arial"/>
        <w:noProof/>
        <w:sz w:val="16"/>
      </w:rPr>
      <w:t>1</w:t>
    </w:r>
    <w:r w:rsidR="00EF696A" w:rsidRPr="0057232E">
      <w:rPr>
        <w:rFonts w:ascii="Arial" w:hAnsi="Arial" w:cs="Arial"/>
        <w:sz w:val="16"/>
      </w:rPr>
      <w:fldChar w:fldCharType="end"/>
    </w:r>
    <w:r w:rsidR="00EF696A" w:rsidRPr="0057232E">
      <w:rPr>
        <w:rFonts w:ascii="Arial" w:hAnsi="Arial" w:cs="Arial"/>
        <w:sz w:val="16"/>
      </w:rPr>
      <w:t xml:space="preserve"> de </w:t>
    </w:r>
    <w:r w:rsidR="00EF696A" w:rsidRPr="0057232E">
      <w:rPr>
        <w:rFonts w:ascii="Arial" w:hAnsi="Arial" w:cs="Arial"/>
        <w:sz w:val="16"/>
      </w:rPr>
      <w:fldChar w:fldCharType="begin"/>
    </w:r>
    <w:r w:rsidR="00EF696A" w:rsidRPr="0057232E">
      <w:rPr>
        <w:rFonts w:ascii="Arial" w:hAnsi="Arial" w:cs="Arial"/>
        <w:sz w:val="16"/>
      </w:rPr>
      <w:instrText>NUMPAGES  \* Arabic  \* MERGEFORMAT</w:instrText>
    </w:r>
    <w:r w:rsidR="00EF696A" w:rsidRPr="0057232E">
      <w:rPr>
        <w:rFonts w:ascii="Arial" w:hAnsi="Arial" w:cs="Arial"/>
        <w:sz w:val="16"/>
      </w:rPr>
      <w:fldChar w:fldCharType="separate"/>
    </w:r>
    <w:r w:rsidR="00376921" w:rsidRPr="0057232E">
      <w:rPr>
        <w:rFonts w:ascii="Arial" w:hAnsi="Arial" w:cs="Arial"/>
        <w:noProof/>
        <w:sz w:val="16"/>
      </w:rPr>
      <w:t>4</w:t>
    </w:r>
    <w:r w:rsidR="00EF696A" w:rsidRPr="0057232E">
      <w:rPr>
        <w:rFonts w:ascii="Arial" w:hAnsi="Arial" w:cs="Arial"/>
        <w:sz w:val="16"/>
      </w:rPr>
      <w:fldChar w:fldCharType="end"/>
    </w:r>
  </w:p>
  <w:p w14:paraId="2FB0861E" w14:textId="77777777" w:rsidR="00EF696A" w:rsidRPr="005671F4" w:rsidRDefault="00EF696A" w:rsidP="00EF696A">
    <w:pPr>
      <w:pStyle w:val="Rodap"/>
      <w:jc w:val="both"/>
      <w:rPr>
        <w:color w:val="002060"/>
        <w:sz w:val="16"/>
        <w:szCs w:val="16"/>
      </w:rPr>
    </w:pPr>
  </w:p>
  <w:p w14:paraId="7CD2ADCE" w14:textId="679A3843" w:rsidR="00EF696A" w:rsidRDefault="00EF696A">
    <w:pPr>
      <w:pStyle w:val="Rodap"/>
    </w:pPr>
  </w:p>
  <w:p w14:paraId="657CB8CF" w14:textId="77777777" w:rsidR="00EF696A" w:rsidRDefault="00EF69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4D34" w14:textId="77777777" w:rsidR="004C6550" w:rsidRDefault="004C65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3B0B" w14:textId="77777777" w:rsidR="007E026E" w:rsidRDefault="007E026E" w:rsidP="00CF28B4">
      <w:r>
        <w:separator/>
      </w:r>
    </w:p>
  </w:footnote>
  <w:footnote w:type="continuationSeparator" w:id="0">
    <w:p w14:paraId="4C69E87C" w14:textId="77777777" w:rsidR="007E026E" w:rsidRDefault="007E026E" w:rsidP="00C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A1BE" w14:textId="77777777" w:rsidR="004C6550" w:rsidRDefault="004C6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63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3"/>
      <w:gridCol w:w="8023"/>
    </w:tblGrid>
    <w:tr w:rsidR="00EF696A" w:rsidRPr="00434880" w14:paraId="0BC85E43" w14:textId="77777777" w:rsidTr="006620AB">
      <w:trPr>
        <w:trHeight w:val="1395"/>
      </w:trPr>
      <w:tc>
        <w:tcPr>
          <w:tcW w:w="1333" w:type="dxa"/>
          <w:vMerge w:val="restart"/>
        </w:tcPr>
        <w:p w14:paraId="1EAA6C5D" w14:textId="77777777" w:rsidR="00EF696A" w:rsidRPr="00434880" w:rsidRDefault="00EF696A" w:rsidP="00EF696A">
          <w:pPr>
            <w:ind w:left="-212" w:right="-57"/>
            <w:jc w:val="left"/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100DB6A3" wp14:editId="792442A9">
                <wp:simplePos x="0" y="0"/>
                <wp:positionH relativeFrom="column">
                  <wp:posOffset>89095</wp:posOffset>
                </wp:positionH>
                <wp:positionV relativeFrom="paragraph">
                  <wp:posOffset>175846</wp:posOffset>
                </wp:positionV>
                <wp:extent cx="677007" cy="696217"/>
                <wp:effectExtent l="0" t="0" r="8890" b="889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007" cy="696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3" w:type="dxa"/>
          <w:vAlign w:val="center"/>
        </w:tcPr>
        <w:p w14:paraId="6DCC58D5" w14:textId="77777777" w:rsidR="00797403" w:rsidRPr="00797403" w:rsidRDefault="00797403" w:rsidP="00020FE6">
          <w:pPr>
            <w:jc w:val="left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5378DBDD" w14:textId="5138E670" w:rsidR="00797403" w:rsidRPr="00797403" w:rsidRDefault="00020FE6" w:rsidP="00020FE6">
          <w:pPr>
            <w:jc w:val="left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SECRETARIA</w:t>
          </w:r>
          <w:r w:rsidR="00797403"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-GERAL DE </w:t>
          </w:r>
          <w:r w:rsidR="003C0D88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LOGÍSTICA</w:t>
          </w:r>
          <w:r w:rsidR="00797403"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 </w:t>
          </w:r>
        </w:p>
        <w:p w14:paraId="1BEF98B1" w14:textId="77777777" w:rsidR="00797403" w:rsidRPr="00797403" w:rsidRDefault="00797403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14:paraId="5DC53C59" w14:textId="2F06336D" w:rsidR="00EF696A" w:rsidRPr="00797403" w:rsidRDefault="00EF696A" w:rsidP="002A4017">
          <w:pPr>
            <w:ind w:right="-57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ESTUDO TÉCNICO PRELIMINAR</w:t>
          </w:r>
          <w:r w:rsidR="002A4017"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 </w:t>
          </w:r>
          <w:r w:rsidR="002A4017"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>–</w:t>
          </w:r>
          <w:r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 xml:space="preserve"> </w:t>
          </w: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ETP</w:t>
          </w:r>
        </w:p>
        <w:p w14:paraId="4A64484B" w14:textId="77777777" w:rsidR="002A4017" w:rsidRDefault="002A4017" w:rsidP="002A4017">
          <w:pPr>
            <w:ind w:right="-57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 xml:space="preserve">CONTRATAÇÃO DE </w:t>
          </w:r>
          <w:r w:rsidR="003C0D88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OBRAS</w:t>
          </w:r>
        </w:p>
        <w:p w14:paraId="1CB2A09D" w14:textId="0DF35082" w:rsidR="00020FE6" w:rsidRPr="00434880" w:rsidRDefault="00020FE6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</w:tc>
    </w:tr>
    <w:tr w:rsidR="00EF696A" w:rsidRPr="00434880" w14:paraId="7AAE024B" w14:textId="77777777" w:rsidTr="006620AB">
      <w:trPr>
        <w:trHeight w:val="551"/>
      </w:trPr>
      <w:tc>
        <w:tcPr>
          <w:tcW w:w="1333" w:type="dxa"/>
          <w:vMerge/>
        </w:tcPr>
        <w:p w14:paraId="20D4DECC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b/>
              <w:i/>
              <w:iCs/>
              <w:szCs w:val="24"/>
              <w:lang w:eastAsia="pt-BR"/>
            </w:rPr>
          </w:pPr>
        </w:p>
      </w:tc>
      <w:tc>
        <w:tcPr>
          <w:tcW w:w="8023" w:type="dxa"/>
        </w:tcPr>
        <w:p w14:paraId="21740344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Processo Administrativo nº:</w:t>
          </w:r>
        </w:p>
      </w:tc>
    </w:tr>
  </w:tbl>
  <w:p w14:paraId="009AF91A" w14:textId="77777777" w:rsidR="00EF696A" w:rsidRPr="00DB2363" w:rsidRDefault="00EF696A" w:rsidP="00EF696A">
    <w:pPr>
      <w:rPr>
        <w:rFonts w:ascii="Arial" w:hAnsi="Arial" w:cs="Arial"/>
        <w:b/>
        <w:color w:val="C00000"/>
        <w:sz w:val="20"/>
        <w:szCs w:val="20"/>
      </w:rPr>
    </w:pPr>
    <w:r w:rsidRPr="004D68D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4D68D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4D68D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</w:t>
    </w:r>
    <w:r w:rsidRPr="00DB2363">
      <w:rPr>
        <w:rFonts w:ascii="Arial" w:hAnsi="Arial" w:cs="Arial"/>
        <w:b/>
        <w:color w:val="C00000"/>
        <w:sz w:val="20"/>
        <w:szCs w:val="20"/>
      </w:rPr>
      <w:t>.</w:t>
    </w:r>
  </w:p>
  <w:p w14:paraId="102C7409" w14:textId="77777777" w:rsidR="00DC380E" w:rsidRPr="00F42EAB" w:rsidRDefault="00DC380E" w:rsidP="00CF28B4">
    <w:pPr>
      <w:pStyle w:val="Cabealho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38A2" w14:textId="77777777" w:rsidR="004C6550" w:rsidRDefault="004C65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4" w:type="dxa"/>
      <w:tblInd w:w="4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4"/>
    </w:tblGrid>
    <w:tr w:rsidR="00DA36DB" w:rsidRPr="00434880" w14:paraId="416CD719" w14:textId="77777777" w:rsidTr="008347C9">
      <w:trPr>
        <w:trHeight w:val="821"/>
      </w:trPr>
      <w:tc>
        <w:tcPr>
          <w:tcW w:w="9724" w:type="dxa"/>
          <w:tcBorders>
            <w:bottom w:val="nil"/>
          </w:tcBorders>
          <w:vAlign w:val="center"/>
        </w:tcPr>
        <w:p w14:paraId="28248F2D" w14:textId="77777777" w:rsidR="00DA36DB" w:rsidRPr="00797403" w:rsidRDefault="00DA36DB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14:paraId="1D9572D6" w14:textId="77777777" w:rsidR="00DA36DB" w:rsidRPr="00797403" w:rsidRDefault="00DA36DB" w:rsidP="002A4017">
          <w:pPr>
            <w:ind w:right="-57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ESTUDO TÉCNICO PRELIMINAR </w:t>
          </w:r>
          <w:r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 xml:space="preserve">– </w:t>
          </w: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ETP</w:t>
          </w:r>
        </w:p>
        <w:p w14:paraId="09634C25" w14:textId="77777777" w:rsidR="00DA36DB" w:rsidRPr="00434880" w:rsidRDefault="00DA36DB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 xml:space="preserve">CONTRATAÇÃO DE </w:t>
          </w:r>
          <w: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OBRAS</w:t>
          </w:r>
        </w:p>
      </w:tc>
    </w:tr>
    <w:tr w:rsidR="00DA36DB" w:rsidRPr="00434880" w14:paraId="73D21FD9" w14:textId="77777777" w:rsidTr="008347C9">
      <w:trPr>
        <w:trHeight w:val="551"/>
      </w:trPr>
      <w:tc>
        <w:tcPr>
          <w:tcW w:w="9724" w:type="dxa"/>
          <w:tcBorders>
            <w:top w:val="nil"/>
            <w:bottom w:val="double" w:sz="4" w:space="0" w:color="auto"/>
          </w:tcBorders>
        </w:tcPr>
        <w:p w14:paraId="0639D5F7" w14:textId="77777777" w:rsidR="00DA36DB" w:rsidRPr="00434880" w:rsidRDefault="00DA36DB" w:rsidP="00EF696A">
          <w:pPr>
            <w:ind w:right="-57"/>
            <w:jc w:val="left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Processo Administrativo nº:</w:t>
          </w:r>
        </w:p>
      </w:tc>
    </w:tr>
  </w:tbl>
  <w:p w14:paraId="6A41E055" w14:textId="37C21990" w:rsidR="00DA36DB" w:rsidRPr="00F42EAB" w:rsidRDefault="00DA36DB" w:rsidP="00530883">
    <w:pP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3F0E"/>
    <w:multiLevelType w:val="hybridMultilevel"/>
    <w:tmpl w:val="6FA6B2A8"/>
    <w:lvl w:ilvl="0" w:tplc="0F6879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08B9"/>
    <w:multiLevelType w:val="multilevel"/>
    <w:tmpl w:val="2E5CE9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Fonte Ecológica Spranq" w:hAnsi="Fonte Ecológica Spranq" w:hint="default"/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B4"/>
    <w:rsid w:val="00020FE6"/>
    <w:rsid w:val="00032535"/>
    <w:rsid w:val="00041B01"/>
    <w:rsid w:val="000832CA"/>
    <w:rsid w:val="00087AD9"/>
    <w:rsid w:val="000926D5"/>
    <w:rsid w:val="000A4772"/>
    <w:rsid w:val="000C12AD"/>
    <w:rsid w:val="000C30C5"/>
    <w:rsid w:val="000C4939"/>
    <w:rsid w:val="000C67A6"/>
    <w:rsid w:val="001110DC"/>
    <w:rsid w:val="0011312A"/>
    <w:rsid w:val="00113AFC"/>
    <w:rsid w:val="00155A98"/>
    <w:rsid w:val="00160307"/>
    <w:rsid w:val="00176117"/>
    <w:rsid w:val="001C7C88"/>
    <w:rsid w:val="001E1D07"/>
    <w:rsid w:val="001F1A82"/>
    <w:rsid w:val="00200ACB"/>
    <w:rsid w:val="002019DD"/>
    <w:rsid w:val="00207039"/>
    <w:rsid w:val="00213F2A"/>
    <w:rsid w:val="002317D9"/>
    <w:rsid w:val="00246DE1"/>
    <w:rsid w:val="00261D5B"/>
    <w:rsid w:val="00272C97"/>
    <w:rsid w:val="00284F47"/>
    <w:rsid w:val="002A4017"/>
    <w:rsid w:val="002B5F47"/>
    <w:rsid w:val="002B5FBB"/>
    <w:rsid w:val="002B7455"/>
    <w:rsid w:val="002C4C82"/>
    <w:rsid w:val="002C6804"/>
    <w:rsid w:val="002D2FEB"/>
    <w:rsid w:val="002E5CB0"/>
    <w:rsid w:val="002E62AD"/>
    <w:rsid w:val="003329A4"/>
    <w:rsid w:val="00357D7E"/>
    <w:rsid w:val="0036180F"/>
    <w:rsid w:val="0037596E"/>
    <w:rsid w:val="00376921"/>
    <w:rsid w:val="00386220"/>
    <w:rsid w:val="003A1310"/>
    <w:rsid w:val="003A3EA8"/>
    <w:rsid w:val="003C0D88"/>
    <w:rsid w:val="003C2942"/>
    <w:rsid w:val="003D0C51"/>
    <w:rsid w:val="00430E91"/>
    <w:rsid w:val="00475FC4"/>
    <w:rsid w:val="004837C9"/>
    <w:rsid w:val="00492908"/>
    <w:rsid w:val="00496FEA"/>
    <w:rsid w:val="004C6550"/>
    <w:rsid w:val="005006A8"/>
    <w:rsid w:val="00530883"/>
    <w:rsid w:val="005671F4"/>
    <w:rsid w:val="0057232E"/>
    <w:rsid w:val="00591FF2"/>
    <w:rsid w:val="005B371A"/>
    <w:rsid w:val="005C5992"/>
    <w:rsid w:val="005D21C8"/>
    <w:rsid w:val="005F4A81"/>
    <w:rsid w:val="0060687F"/>
    <w:rsid w:val="00622E8A"/>
    <w:rsid w:val="00636B9B"/>
    <w:rsid w:val="00651A35"/>
    <w:rsid w:val="00654595"/>
    <w:rsid w:val="006620AB"/>
    <w:rsid w:val="00673FD3"/>
    <w:rsid w:val="006A183B"/>
    <w:rsid w:val="00700AAA"/>
    <w:rsid w:val="007028F0"/>
    <w:rsid w:val="00717679"/>
    <w:rsid w:val="00797403"/>
    <w:rsid w:val="007B22CA"/>
    <w:rsid w:val="007C248C"/>
    <w:rsid w:val="007D678E"/>
    <w:rsid w:val="007E026E"/>
    <w:rsid w:val="00801F24"/>
    <w:rsid w:val="008063C0"/>
    <w:rsid w:val="00811E62"/>
    <w:rsid w:val="00833D5C"/>
    <w:rsid w:val="008347C9"/>
    <w:rsid w:val="00836B67"/>
    <w:rsid w:val="0084274C"/>
    <w:rsid w:val="008A02DD"/>
    <w:rsid w:val="0090678D"/>
    <w:rsid w:val="00907AB7"/>
    <w:rsid w:val="0091753E"/>
    <w:rsid w:val="00975E9D"/>
    <w:rsid w:val="00982E45"/>
    <w:rsid w:val="009C08AB"/>
    <w:rsid w:val="009C3CEC"/>
    <w:rsid w:val="009F40FC"/>
    <w:rsid w:val="00A02FCF"/>
    <w:rsid w:val="00A56BA6"/>
    <w:rsid w:val="00A81CF2"/>
    <w:rsid w:val="00A91D16"/>
    <w:rsid w:val="00AA4A3D"/>
    <w:rsid w:val="00AA62BD"/>
    <w:rsid w:val="00AB5EF4"/>
    <w:rsid w:val="00AC33BF"/>
    <w:rsid w:val="00B15FEE"/>
    <w:rsid w:val="00B7611D"/>
    <w:rsid w:val="00B830A1"/>
    <w:rsid w:val="00BA765C"/>
    <w:rsid w:val="00BB1600"/>
    <w:rsid w:val="00BD3AF0"/>
    <w:rsid w:val="00BE1536"/>
    <w:rsid w:val="00C1022D"/>
    <w:rsid w:val="00C345F1"/>
    <w:rsid w:val="00C8099A"/>
    <w:rsid w:val="00CB54F8"/>
    <w:rsid w:val="00CD3DF2"/>
    <w:rsid w:val="00CD57FF"/>
    <w:rsid w:val="00CD5F75"/>
    <w:rsid w:val="00CE49CA"/>
    <w:rsid w:val="00CE6FF2"/>
    <w:rsid w:val="00CF28B4"/>
    <w:rsid w:val="00CF3B39"/>
    <w:rsid w:val="00D10D97"/>
    <w:rsid w:val="00D1731C"/>
    <w:rsid w:val="00D253B1"/>
    <w:rsid w:val="00D418F8"/>
    <w:rsid w:val="00D6452B"/>
    <w:rsid w:val="00DA36DB"/>
    <w:rsid w:val="00DC380E"/>
    <w:rsid w:val="00DC3DDB"/>
    <w:rsid w:val="00E20C8C"/>
    <w:rsid w:val="00E72D57"/>
    <w:rsid w:val="00E76BBD"/>
    <w:rsid w:val="00E87678"/>
    <w:rsid w:val="00E92715"/>
    <w:rsid w:val="00EF696A"/>
    <w:rsid w:val="00F42EAB"/>
    <w:rsid w:val="00F43CD1"/>
    <w:rsid w:val="00F56546"/>
    <w:rsid w:val="00F73D6C"/>
    <w:rsid w:val="00F83A76"/>
    <w:rsid w:val="00F86CC4"/>
    <w:rsid w:val="00F93433"/>
    <w:rsid w:val="00FE4F91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EE05B"/>
  <w15:docId w15:val="{876EC1C3-F67F-42F5-8C5D-5394B14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</w:style>
  <w:style w:type="paragraph" w:styleId="Ttulo1">
    <w:name w:val="heading 1"/>
    <w:basedOn w:val="Normal"/>
    <w:next w:val="Normal"/>
    <w:link w:val="Ttulo1Char"/>
    <w:qFormat/>
    <w:rsid w:val="00087AD9"/>
    <w:pPr>
      <w:keepNext/>
      <w:numPr>
        <w:numId w:val="2"/>
      </w:numPr>
      <w:spacing w:line="360" w:lineRule="auto"/>
      <w:jc w:val="left"/>
      <w:outlineLvl w:val="0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7AD9"/>
    <w:pPr>
      <w:keepNext/>
      <w:numPr>
        <w:ilvl w:val="1"/>
        <w:numId w:val="2"/>
      </w:numPr>
      <w:spacing w:line="36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87AD9"/>
    <w:pPr>
      <w:keepNext/>
      <w:numPr>
        <w:ilvl w:val="2"/>
        <w:numId w:val="2"/>
      </w:numPr>
      <w:spacing w:line="360" w:lineRule="auto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7AD9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7AD9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AD9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AD9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AD9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AD9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8B4"/>
  </w:style>
  <w:style w:type="paragraph" w:styleId="Rodap">
    <w:name w:val="footer"/>
    <w:basedOn w:val="Normal"/>
    <w:link w:val="Rodap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8B4"/>
  </w:style>
  <w:style w:type="paragraph" w:styleId="Textodebalo">
    <w:name w:val="Balloon Text"/>
    <w:basedOn w:val="Normal"/>
    <w:link w:val="TextodebaloChar"/>
    <w:uiPriority w:val="99"/>
    <w:semiHidden/>
    <w:unhideWhenUsed/>
    <w:rsid w:val="00CF2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8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2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B5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87AD9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7AD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087AD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87AD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7AD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7AD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7AD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7AD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7AD9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1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6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4000-B90C-4D4C-99ED-25640FE3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1351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Rosane de Souza Barcelos</cp:lastModifiedBy>
  <cp:revision>21</cp:revision>
  <cp:lastPrinted>2023-03-08T21:58:00Z</cp:lastPrinted>
  <dcterms:created xsi:type="dcterms:W3CDTF">2021-12-10T14:06:00Z</dcterms:created>
  <dcterms:modified xsi:type="dcterms:W3CDTF">2023-03-08T21:58:00Z</dcterms:modified>
</cp:coreProperties>
</file>