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5A497" w14:textId="77777777" w:rsidR="00E842EF" w:rsidRDefault="00E842EF" w:rsidP="00FF0D60">
      <w:pPr>
        <w:pStyle w:val="tabelatextocentralizado"/>
        <w:spacing w:before="0" w:beforeAutospacing="0" w:after="0" w:afterAutospacing="0"/>
        <w:ind w:left="60" w:right="60"/>
        <w:jc w:val="center"/>
        <w:rPr>
          <w:rStyle w:val="Forte"/>
          <w:color w:val="000000"/>
          <w:sz w:val="22"/>
          <w:szCs w:val="22"/>
        </w:rPr>
      </w:pPr>
    </w:p>
    <w:p w14:paraId="55C63EFE" w14:textId="7B104D3C" w:rsidR="00FF0D60" w:rsidRPr="00E842EF" w:rsidRDefault="00FF0D60" w:rsidP="00E842EF">
      <w:pPr>
        <w:pStyle w:val="tabelatextocentralizado"/>
        <w:spacing w:before="0" w:beforeAutospacing="0" w:after="0" w:afterAutospacing="0"/>
        <w:ind w:left="60" w:right="60"/>
        <w:jc w:val="center"/>
        <w:rPr>
          <w:color w:val="000000"/>
          <w:sz w:val="27"/>
          <w:szCs w:val="27"/>
        </w:rPr>
      </w:pPr>
      <w:r w:rsidRPr="00E842EF">
        <w:rPr>
          <w:rStyle w:val="Forte"/>
          <w:color w:val="000000"/>
          <w:sz w:val="27"/>
          <w:szCs w:val="27"/>
        </w:rPr>
        <w:t>AVISO CONJUNTO 2ªVP/CGJ</w:t>
      </w:r>
      <w:r w:rsidR="00E842EF" w:rsidRPr="00E842EF">
        <w:rPr>
          <w:rStyle w:val="Forte"/>
          <w:color w:val="000000"/>
          <w:sz w:val="27"/>
          <w:szCs w:val="27"/>
        </w:rPr>
        <w:t xml:space="preserve"> nº</w:t>
      </w:r>
      <w:r w:rsidRPr="00E842EF">
        <w:rPr>
          <w:rStyle w:val="Forte"/>
          <w:color w:val="000000"/>
          <w:sz w:val="27"/>
          <w:szCs w:val="27"/>
        </w:rPr>
        <w:t xml:space="preserve"> 06/2021</w:t>
      </w:r>
      <w:r w:rsidRPr="00E842EF">
        <w:rPr>
          <w:color w:val="000000"/>
          <w:sz w:val="27"/>
          <w:szCs w:val="27"/>
        </w:rPr>
        <w:t> </w:t>
      </w:r>
    </w:p>
    <w:p w14:paraId="45CC09E3" w14:textId="77777777" w:rsidR="00A556B8" w:rsidRDefault="00A556B8" w:rsidP="00FF0D60">
      <w:pPr>
        <w:pStyle w:val="textojustificado"/>
        <w:spacing w:before="120" w:beforeAutospacing="0" w:after="120" w:afterAutospacing="0"/>
        <w:ind w:left="120" w:right="120"/>
        <w:jc w:val="both"/>
        <w:rPr>
          <w:color w:val="000000"/>
          <w:sz w:val="27"/>
          <w:szCs w:val="27"/>
        </w:rPr>
      </w:pPr>
    </w:p>
    <w:p w14:paraId="02CFADAB" w14:textId="24A0BEFF" w:rsidR="00FF0D60"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O Desembargador </w:t>
      </w:r>
      <w:r w:rsidRPr="00E842EF">
        <w:rPr>
          <w:rStyle w:val="Forte"/>
          <w:color w:val="000000"/>
          <w:sz w:val="27"/>
          <w:szCs w:val="27"/>
        </w:rPr>
        <w:t>MARCUS HENRIQUE PINTO BASÍLIO</w:t>
      </w:r>
      <w:r w:rsidRPr="00E842EF">
        <w:rPr>
          <w:color w:val="000000"/>
          <w:sz w:val="27"/>
          <w:szCs w:val="27"/>
        </w:rPr>
        <w:t>, 2º Vice-Presidente do Tribunal de Justiça e Supervisor do Grupo de Monitoramento e Fiscalização do Sistema Carcerário – GMF, e o Desembargador </w:t>
      </w:r>
      <w:r w:rsidRPr="00E842EF">
        <w:rPr>
          <w:rStyle w:val="Forte"/>
          <w:color w:val="000000"/>
          <w:sz w:val="27"/>
          <w:szCs w:val="27"/>
        </w:rPr>
        <w:t>RICARDO RODRIGUES CARDOZO</w:t>
      </w:r>
      <w:r w:rsidRPr="00E842EF">
        <w:rPr>
          <w:color w:val="000000"/>
          <w:sz w:val="27"/>
          <w:szCs w:val="27"/>
        </w:rPr>
        <w:t>, Corregedor-Geral da Justiça, no uso de suas respectivas atribuições legais;</w:t>
      </w:r>
    </w:p>
    <w:p w14:paraId="40B47ED9" w14:textId="77777777" w:rsidR="00A556B8" w:rsidRPr="00E842EF" w:rsidRDefault="00A556B8" w:rsidP="00FF0D60">
      <w:pPr>
        <w:pStyle w:val="textojustificado"/>
        <w:spacing w:before="120" w:beforeAutospacing="0" w:after="120" w:afterAutospacing="0"/>
        <w:ind w:left="120" w:right="120"/>
        <w:jc w:val="both"/>
        <w:rPr>
          <w:color w:val="000000"/>
          <w:sz w:val="27"/>
          <w:szCs w:val="27"/>
        </w:rPr>
      </w:pPr>
    </w:p>
    <w:p w14:paraId="74461C09" w14:textId="7C3777E5" w:rsidR="00FF0D60" w:rsidRDefault="00FF0D60" w:rsidP="00FF0D60">
      <w:pPr>
        <w:pStyle w:val="textojustificado"/>
        <w:spacing w:before="120" w:beforeAutospacing="0" w:after="120" w:afterAutospacing="0"/>
        <w:ind w:left="120" w:right="120"/>
        <w:jc w:val="both"/>
        <w:rPr>
          <w:color w:val="000000"/>
          <w:sz w:val="27"/>
          <w:szCs w:val="27"/>
        </w:rPr>
      </w:pPr>
      <w:r w:rsidRPr="00E842EF">
        <w:rPr>
          <w:rStyle w:val="Forte"/>
          <w:color w:val="000000"/>
          <w:sz w:val="27"/>
          <w:szCs w:val="27"/>
        </w:rPr>
        <w:t>CONSIDERANDO</w:t>
      </w:r>
      <w:r w:rsidRPr="00E842EF">
        <w:rPr>
          <w:color w:val="000000"/>
          <w:sz w:val="27"/>
          <w:szCs w:val="27"/>
        </w:rPr>
        <w:t> o artigo 227 da Constituição Federal de 1988 que estabelece a prioridade absoluta na garantia dos direitos da criança e do adolescente e o princípio da convivência familiar e comunitária;</w:t>
      </w:r>
    </w:p>
    <w:p w14:paraId="76FF880B" w14:textId="77777777" w:rsidR="00A556B8" w:rsidRPr="00E842EF" w:rsidRDefault="00A556B8" w:rsidP="00FF0D60">
      <w:pPr>
        <w:pStyle w:val="textojustificado"/>
        <w:spacing w:before="120" w:beforeAutospacing="0" w:after="120" w:afterAutospacing="0"/>
        <w:ind w:left="120" w:right="120"/>
        <w:jc w:val="both"/>
        <w:rPr>
          <w:color w:val="000000"/>
          <w:sz w:val="27"/>
          <w:szCs w:val="27"/>
        </w:rPr>
      </w:pPr>
    </w:p>
    <w:p w14:paraId="40AE77D6" w14:textId="441317F0" w:rsidR="00FF0D60" w:rsidRDefault="00FF0D60" w:rsidP="00FF0D60">
      <w:pPr>
        <w:pStyle w:val="textojustificado"/>
        <w:spacing w:before="120" w:beforeAutospacing="0" w:after="120" w:afterAutospacing="0"/>
        <w:ind w:left="120" w:right="120"/>
        <w:jc w:val="both"/>
        <w:rPr>
          <w:color w:val="000000"/>
          <w:sz w:val="27"/>
          <w:szCs w:val="27"/>
        </w:rPr>
      </w:pPr>
      <w:r w:rsidRPr="00E842EF">
        <w:rPr>
          <w:rStyle w:val="Forte"/>
          <w:color w:val="000000"/>
          <w:sz w:val="27"/>
          <w:szCs w:val="27"/>
        </w:rPr>
        <w:t>CONSIDERANDO</w:t>
      </w:r>
      <w:r w:rsidRPr="00E842EF">
        <w:rPr>
          <w:color w:val="000000"/>
          <w:sz w:val="27"/>
          <w:szCs w:val="27"/>
        </w:rPr>
        <w:t> as disposições da Resolução</w:t>
      </w:r>
      <w:r w:rsidR="00215B14">
        <w:rPr>
          <w:color w:val="000000"/>
          <w:sz w:val="27"/>
          <w:szCs w:val="27"/>
        </w:rPr>
        <w:t xml:space="preserve"> CNJ nº</w:t>
      </w:r>
      <w:r w:rsidRPr="00E842EF">
        <w:rPr>
          <w:color w:val="000000"/>
          <w:sz w:val="27"/>
          <w:szCs w:val="27"/>
        </w:rPr>
        <w:t xml:space="preserve"> 214, de 15 de dezembro de 2015</w:t>
      </w:r>
      <w:r w:rsidR="00215B14">
        <w:rPr>
          <w:color w:val="000000"/>
          <w:sz w:val="27"/>
          <w:szCs w:val="27"/>
        </w:rPr>
        <w:t>,</w:t>
      </w:r>
      <w:r w:rsidRPr="00E842EF">
        <w:rPr>
          <w:color w:val="000000"/>
          <w:sz w:val="27"/>
          <w:szCs w:val="27"/>
        </w:rPr>
        <w:t xml:space="preserve"> que institui o Grupo de Monitoramento e Fiscalização do Sistema Carcerário (GMF) e delimita que cabe ao GMF fiscalizar e monitorar a condição de cumprimento de medidas de internação por adolescentes em conflito com a lei, adotando providências necessárias para assegurar que o número de internados não exceda a capacidade de ocupação dos estabelecimentos (art. 6, inc. X);</w:t>
      </w:r>
    </w:p>
    <w:p w14:paraId="2B8A3B77" w14:textId="77777777" w:rsidR="00A556B8" w:rsidRPr="00E842EF" w:rsidRDefault="00A556B8" w:rsidP="00FF0D60">
      <w:pPr>
        <w:pStyle w:val="textojustificado"/>
        <w:spacing w:before="120" w:beforeAutospacing="0" w:after="120" w:afterAutospacing="0"/>
        <w:ind w:left="120" w:right="120"/>
        <w:jc w:val="both"/>
        <w:rPr>
          <w:color w:val="000000"/>
          <w:sz w:val="27"/>
          <w:szCs w:val="27"/>
        </w:rPr>
      </w:pPr>
    </w:p>
    <w:p w14:paraId="0038332C" w14:textId="67731994" w:rsidR="00FF0D60" w:rsidRDefault="00FF0D60" w:rsidP="00FF0D60">
      <w:pPr>
        <w:pStyle w:val="textojustificado"/>
        <w:spacing w:before="120" w:beforeAutospacing="0" w:after="120" w:afterAutospacing="0"/>
        <w:ind w:left="120" w:right="120"/>
        <w:jc w:val="both"/>
        <w:rPr>
          <w:color w:val="000000"/>
          <w:sz w:val="27"/>
          <w:szCs w:val="27"/>
        </w:rPr>
      </w:pPr>
      <w:r w:rsidRPr="00E842EF">
        <w:rPr>
          <w:rStyle w:val="Forte"/>
          <w:color w:val="000000"/>
          <w:sz w:val="27"/>
          <w:szCs w:val="27"/>
        </w:rPr>
        <w:t>CONSIDERANDO</w:t>
      </w:r>
      <w:r w:rsidRPr="00E842EF">
        <w:rPr>
          <w:color w:val="000000"/>
          <w:sz w:val="27"/>
          <w:szCs w:val="27"/>
        </w:rPr>
        <w:t> o entendimento proferido no Acórdão do Habeas Corpus n.º 143.988 do Espírito Santo, no qual o Supremo Tribunal Federal determina que as unidades de execução de medida socioeducativa de internação de adolescente não ultrapassem a capacidade projetada de internação prevista para cada unidade em respeito ao atendimento socioeducativo de qualidade e sem superlotação;</w:t>
      </w:r>
    </w:p>
    <w:p w14:paraId="45A93F4C" w14:textId="77777777" w:rsidR="00A556B8" w:rsidRPr="00E842EF" w:rsidRDefault="00A556B8" w:rsidP="00FF0D60">
      <w:pPr>
        <w:pStyle w:val="textojustificado"/>
        <w:spacing w:before="120" w:beforeAutospacing="0" w:after="120" w:afterAutospacing="0"/>
        <w:ind w:left="120" w:right="120"/>
        <w:jc w:val="both"/>
        <w:rPr>
          <w:color w:val="000000"/>
          <w:sz w:val="27"/>
          <w:szCs w:val="27"/>
        </w:rPr>
      </w:pPr>
    </w:p>
    <w:p w14:paraId="070FDE14" w14:textId="08EE1C1B" w:rsidR="00FF0D60" w:rsidRDefault="00FF0D60" w:rsidP="00FF0D60">
      <w:pPr>
        <w:pStyle w:val="textojustificado"/>
        <w:spacing w:before="120" w:beforeAutospacing="0" w:after="120" w:afterAutospacing="0"/>
        <w:ind w:left="120" w:right="120"/>
        <w:jc w:val="both"/>
        <w:rPr>
          <w:color w:val="000000"/>
          <w:sz w:val="27"/>
          <w:szCs w:val="27"/>
        </w:rPr>
      </w:pPr>
      <w:r w:rsidRPr="00E842EF">
        <w:rPr>
          <w:rStyle w:val="Forte"/>
          <w:color w:val="000000"/>
          <w:sz w:val="27"/>
          <w:szCs w:val="27"/>
        </w:rPr>
        <w:t>CONSIDERANDO</w:t>
      </w:r>
      <w:r w:rsidRPr="00E842EF">
        <w:rPr>
          <w:color w:val="000000"/>
          <w:sz w:val="27"/>
          <w:szCs w:val="27"/>
        </w:rPr>
        <w:t> o Cadastro Nacional de Adolescentes em Conflito com a Lei (CNACL), disposto pela Resolução CNJ nº 165, de 16 de novembro de 2012, do Conselho Nacional de Justiça;</w:t>
      </w:r>
    </w:p>
    <w:p w14:paraId="31B8F4F4" w14:textId="77777777" w:rsidR="00A556B8" w:rsidRPr="00E842EF" w:rsidRDefault="00A556B8" w:rsidP="00FF0D60">
      <w:pPr>
        <w:pStyle w:val="textojustificado"/>
        <w:spacing w:before="120" w:beforeAutospacing="0" w:after="120" w:afterAutospacing="0"/>
        <w:ind w:left="120" w:right="120"/>
        <w:jc w:val="both"/>
        <w:rPr>
          <w:color w:val="000000"/>
          <w:sz w:val="27"/>
          <w:szCs w:val="27"/>
        </w:rPr>
      </w:pPr>
    </w:p>
    <w:p w14:paraId="06C75680" w14:textId="1F99F083" w:rsidR="00FF0D60" w:rsidRDefault="00FF0D60" w:rsidP="00FF0D60">
      <w:pPr>
        <w:pStyle w:val="textojustificado"/>
        <w:spacing w:before="120" w:beforeAutospacing="0" w:after="120" w:afterAutospacing="0"/>
        <w:ind w:left="120" w:right="120"/>
        <w:jc w:val="both"/>
        <w:rPr>
          <w:color w:val="000000"/>
          <w:sz w:val="27"/>
          <w:szCs w:val="27"/>
        </w:rPr>
      </w:pPr>
      <w:r w:rsidRPr="00E842EF">
        <w:rPr>
          <w:rStyle w:val="Forte"/>
          <w:color w:val="000000"/>
          <w:sz w:val="27"/>
          <w:szCs w:val="27"/>
        </w:rPr>
        <w:t>CONSIDERANDO</w:t>
      </w:r>
      <w:r w:rsidRPr="00E842EF">
        <w:rPr>
          <w:color w:val="000000"/>
          <w:sz w:val="27"/>
          <w:szCs w:val="27"/>
        </w:rPr>
        <w:t> as diretrizes e normas gerais para a criação da Central de Vagas no Sistema Estadual de Atendimento Socioeducativo, no âmbito do Poder Judiciário, estabelecidas pela Resolução CNJ n° 367, de 19 de janeiro de 2021, do Conselho Nacional de Justiça,</w:t>
      </w:r>
    </w:p>
    <w:p w14:paraId="6FAC8A15" w14:textId="77777777" w:rsidR="00A556B8" w:rsidRPr="00E842EF" w:rsidRDefault="00A556B8" w:rsidP="00FF0D60">
      <w:pPr>
        <w:pStyle w:val="textojustificado"/>
        <w:spacing w:before="120" w:beforeAutospacing="0" w:after="120" w:afterAutospacing="0"/>
        <w:ind w:left="120" w:right="120"/>
        <w:jc w:val="both"/>
        <w:rPr>
          <w:color w:val="000000"/>
          <w:sz w:val="27"/>
          <w:szCs w:val="27"/>
        </w:rPr>
      </w:pPr>
    </w:p>
    <w:p w14:paraId="284E14F4" w14:textId="77777777"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rStyle w:val="Forte"/>
          <w:color w:val="000000"/>
          <w:sz w:val="27"/>
          <w:szCs w:val="27"/>
        </w:rPr>
        <w:t>CONSIDERANDO </w:t>
      </w:r>
      <w:r w:rsidRPr="00E842EF">
        <w:rPr>
          <w:color w:val="000000"/>
          <w:sz w:val="27"/>
          <w:szCs w:val="27"/>
        </w:rPr>
        <w:t>a edição da Resolução Conjunta n° 1.550, de 26 de maio de 2021 que dispôs sobre a criação, implantação e execução da Central de Vagas no Sistema Estadual de Atendimento Socioeducativo.</w:t>
      </w:r>
    </w:p>
    <w:p w14:paraId="5686A285" w14:textId="77777777" w:rsidR="00FF0D60" w:rsidRPr="00E842EF" w:rsidRDefault="00FF0D60" w:rsidP="00FF0D60">
      <w:pPr>
        <w:pStyle w:val="NormalWeb"/>
        <w:rPr>
          <w:color w:val="000000"/>
          <w:sz w:val="27"/>
          <w:szCs w:val="27"/>
        </w:rPr>
      </w:pPr>
      <w:r w:rsidRPr="00E842EF">
        <w:rPr>
          <w:color w:val="000000"/>
          <w:sz w:val="27"/>
          <w:szCs w:val="27"/>
        </w:rPr>
        <w:t> </w:t>
      </w:r>
    </w:p>
    <w:p w14:paraId="2AADF8A0" w14:textId="54EA806E" w:rsidR="00A556B8" w:rsidRPr="00E842EF" w:rsidRDefault="00FF0D60" w:rsidP="00FF0D60">
      <w:pPr>
        <w:pStyle w:val="textojustificado"/>
        <w:spacing w:before="120" w:beforeAutospacing="0" w:after="120" w:afterAutospacing="0"/>
        <w:ind w:left="120" w:right="120"/>
        <w:jc w:val="both"/>
        <w:rPr>
          <w:color w:val="000000"/>
          <w:sz w:val="27"/>
          <w:szCs w:val="27"/>
        </w:rPr>
      </w:pPr>
      <w:r w:rsidRPr="00E842EF">
        <w:rPr>
          <w:rStyle w:val="Forte"/>
          <w:color w:val="000000"/>
          <w:sz w:val="27"/>
          <w:szCs w:val="27"/>
        </w:rPr>
        <w:lastRenderedPageBreak/>
        <w:t>AVISAM</w:t>
      </w:r>
      <w:r w:rsidRPr="00E842EF">
        <w:rPr>
          <w:color w:val="000000"/>
          <w:sz w:val="27"/>
          <w:szCs w:val="27"/>
        </w:rPr>
        <w:t xml:space="preserve"> a todos os Magistrados, Responsáveis pelo Expediente, Secretários e demais </w:t>
      </w:r>
      <w:r w:rsidR="00F8156D">
        <w:rPr>
          <w:color w:val="000000"/>
          <w:sz w:val="27"/>
          <w:szCs w:val="27"/>
        </w:rPr>
        <w:t>S</w:t>
      </w:r>
      <w:r w:rsidRPr="00E842EF">
        <w:rPr>
          <w:color w:val="000000"/>
          <w:sz w:val="27"/>
          <w:szCs w:val="27"/>
        </w:rPr>
        <w:t>ervidores sobre a necessidade, ao atuarem com competência infracional, inclusive nos plantões judiciais, de que seja observado o teor da Resolução Conjunta SEEDUC/2VP n° 1.550/2021, em especial, quanto à obrigatoriedade de os Juízes, por meio de seus gabinetes, em caso de decretação da internação provisória e aplicação do regime de semiliberdade ou de internação, expedirem e encaminharem à Central de Vagas do DEGASE os seguintes documentos:</w:t>
      </w:r>
    </w:p>
    <w:p w14:paraId="709D12E3" w14:textId="192FA9A5" w:rsidR="00A556B8" w:rsidRPr="00A556B8" w:rsidRDefault="00FF0D60" w:rsidP="00CA1E05">
      <w:pPr>
        <w:pStyle w:val="textojustificado"/>
        <w:numPr>
          <w:ilvl w:val="0"/>
          <w:numId w:val="1"/>
        </w:numPr>
        <w:spacing w:before="120" w:beforeAutospacing="0" w:after="120" w:afterAutospacing="0"/>
        <w:ind w:left="840" w:right="120" w:firstLine="0"/>
        <w:jc w:val="both"/>
        <w:rPr>
          <w:color w:val="000000"/>
          <w:sz w:val="27"/>
          <w:szCs w:val="27"/>
        </w:rPr>
      </w:pPr>
      <w:r w:rsidRPr="00A556B8">
        <w:rPr>
          <w:color w:val="000000"/>
          <w:sz w:val="27"/>
          <w:szCs w:val="27"/>
        </w:rPr>
        <w:t>Guia de Internação ou de execução (provisória ou definitiva), instruídas com a documentação especificada na Resolução CNJ n° 165/2012, observado o disposto no Cadastro Nacional de Adolescente em Conflito com a Lei (CNACL), com a expressa especificação da capitulação jurídica completa do ato infracional;</w:t>
      </w:r>
    </w:p>
    <w:p w14:paraId="671EB0B9" w14:textId="02F678C7" w:rsidR="00A556B8" w:rsidRPr="00A556B8" w:rsidRDefault="00FF0D60" w:rsidP="00AB09B6">
      <w:pPr>
        <w:pStyle w:val="textojustificado"/>
        <w:numPr>
          <w:ilvl w:val="0"/>
          <w:numId w:val="1"/>
        </w:numPr>
        <w:spacing w:before="120" w:beforeAutospacing="0" w:after="120" w:afterAutospacing="0"/>
        <w:ind w:left="840" w:right="120" w:firstLine="0"/>
        <w:jc w:val="both"/>
        <w:rPr>
          <w:color w:val="000000"/>
          <w:sz w:val="27"/>
          <w:szCs w:val="27"/>
        </w:rPr>
      </w:pPr>
      <w:r w:rsidRPr="00A556B8">
        <w:rPr>
          <w:color w:val="000000"/>
          <w:sz w:val="27"/>
          <w:szCs w:val="27"/>
        </w:rPr>
        <w:t>Formulário de pontuação do adolescente a ser preenchido por meio do Sistema de Identificação e Informação do Adolescente (SIIAD).</w:t>
      </w:r>
    </w:p>
    <w:p w14:paraId="57BB7DDD" w14:textId="316F6C5E"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Nos termos do parágrafo único do art. 8º da Resolução Conjunta SEEDUC/2VP n° 1550/2021, toda documentação descrita no </w:t>
      </w:r>
      <w:r w:rsidRPr="00E842EF">
        <w:rPr>
          <w:rStyle w:val="nfase"/>
          <w:color w:val="000000"/>
          <w:sz w:val="27"/>
          <w:szCs w:val="27"/>
        </w:rPr>
        <w:t>caput </w:t>
      </w:r>
      <w:r w:rsidRPr="00E842EF">
        <w:rPr>
          <w:color w:val="000000"/>
          <w:sz w:val="27"/>
          <w:szCs w:val="27"/>
        </w:rPr>
        <w:t>desse artigo deverá ser encaminhada pelo endereço eletrônico: </w:t>
      </w:r>
      <w:r w:rsidRPr="003A1C5C">
        <w:rPr>
          <w:rStyle w:val="Forte"/>
          <w:b w:val="0"/>
          <w:bCs w:val="0"/>
          <w:sz w:val="27"/>
          <w:szCs w:val="27"/>
        </w:rPr>
        <w:t>crv@novodegase.rj.gov.br</w:t>
      </w:r>
      <w:r w:rsidRPr="00E842EF">
        <w:rPr>
          <w:rStyle w:val="Forte"/>
          <w:color w:val="000000"/>
          <w:sz w:val="27"/>
          <w:szCs w:val="27"/>
        </w:rPr>
        <w:t>.</w:t>
      </w:r>
    </w:p>
    <w:p w14:paraId="4ED873DB" w14:textId="01042318"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 xml:space="preserve">Para tanto, todos os </w:t>
      </w:r>
      <w:r w:rsidR="00F8156D">
        <w:rPr>
          <w:color w:val="000000"/>
          <w:sz w:val="27"/>
          <w:szCs w:val="27"/>
        </w:rPr>
        <w:t>M</w:t>
      </w:r>
      <w:r w:rsidRPr="00E842EF">
        <w:rPr>
          <w:color w:val="000000"/>
          <w:sz w:val="27"/>
          <w:szCs w:val="27"/>
        </w:rPr>
        <w:t xml:space="preserve">agistrados, </w:t>
      </w:r>
      <w:r w:rsidR="00F8156D">
        <w:rPr>
          <w:color w:val="000000"/>
          <w:sz w:val="27"/>
          <w:szCs w:val="27"/>
        </w:rPr>
        <w:t>S</w:t>
      </w:r>
      <w:r w:rsidRPr="00E842EF">
        <w:rPr>
          <w:color w:val="000000"/>
          <w:sz w:val="27"/>
          <w:szCs w:val="27"/>
        </w:rPr>
        <w:t xml:space="preserve">ecretários e </w:t>
      </w:r>
      <w:r w:rsidR="00F8156D">
        <w:rPr>
          <w:color w:val="000000"/>
          <w:sz w:val="27"/>
          <w:szCs w:val="27"/>
        </w:rPr>
        <w:t>C</w:t>
      </w:r>
      <w:r w:rsidRPr="00E842EF">
        <w:rPr>
          <w:color w:val="000000"/>
          <w:sz w:val="27"/>
          <w:szCs w:val="27"/>
        </w:rPr>
        <w:t xml:space="preserve">hefes de </w:t>
      </w:r>
      <w:r w:rsidR="00F8156D">
        <w:rPr>
          <w:color w:val="000000"/>
          <w:sz w:val="27"/>
          <w:szCs w:val="27"/>
        </w:rPr>
        <w:t>S</w:t>
      </w:r>
      <w:r w:rsidRPr="00E842EF">
        <w:rPr>
          <w:color w:val="000000"/>
          <w:sz w:val="27"/>
          <w:szCs w:val="27"/>
        </w:rPr>
        <w:t>erventia deverão providenciar o devido registro nos sistemas de informática SIIAD e CNACL.</w:t>
      </w:r>
    </w:p>
    <w:p w14:paraId="60E179F7" w14:textId="6D921CA0"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 xml:space="preserve">Os </w:t>
      </w:r>
      <w:r w:rsidR="00F8156D">
        <w:rPr>
          <w:color w:val="000000"/>
          <w:sz w:val="27"/>
          <w:szCs w:val="27"/>
        </w:rPr>
        <w:t>M</w:t>
      </w:r>
      <w:r w:rsidRPr="00E842EF">
        <w:rPr>
          <w:color w:val="000000"/>
          <w:sz w:val="27"/>
          <w:szCs w:val="27"/>
        </w:rPr>
        <w:t xml:space="preserve">agistrados e </w:t>
      </w:r>
      <w:r w:rsidR="00F8156D">
        <w:rPr>
          <w:color w:val="000000"/>
          <w:sz w:val="27"/>
          <w:szCs w:val="27"/>
        </w:rPr>
        <w:t>S</w:t>
      </w:r>
      <w:r w:rsidRPr="00E842EF">
        <w:rPr>
          <w:color w:val="000000"/>
          <w:sz w:val="27"/>
          <w:szCs w:val="27"/>
        </w:rPr>
        <w:t>ecretários que estejam trabalhando em </w:t>
      </w:r>
      <w:r w:rsidRPr="00E842EF">
        <w:rPr>
          <w:rStyle w:val="nfase"/>
          <w:color w:val="000000"/>
          <w:sz w:val="27"/>
          <w:szCs w:val="27"/>
        </w:rPr>
        <w:t>home office</w:t>
      </w:r>
      <w:r w:rsidRPr="00E842EF">
        <w:rPr>
          <w:color w:val="000000"/>
          <w:sz w:val="27"/>
          <w:szCs w:val="27"/>
        </w:rPr>
        <w:t> ou estejam designados para o plantão judicial remoto deverão habilitar pelo sistema de informática SAR a ferramenta de acesso ao SIIAD.</w:t>
      </w:r>
    </w:p>
    <w:p w14:paraId="4510D7AA" w14:textId="1D7D26F3"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 xml:space="preserve">Os </w:t>
      </w:r>
      <w:r w:rsidR="00F8156D">
        <w:rPr>
          <w:color w:val="000000"/>
          <w:sz w:val="27"/>
          <w:szCs w:val="27"/>
        </w:rPr>
        <w:t>J</w:t>
      </w:r>
      <w:r w:rsidRPr="00E842EF">
        <w:rPr>
          <w:color w:val="000000"/>
          <w:sz w:val="27"/>
          <w:szCs w:val="27"/>
        </w:rPr>
        <w:t xml:space="preserve">uízes competentes no juízo infracional da Capital ou em atuação no plantão judicial da Capital, na hipótese de aplicação da medida protetiva de acolhimento, na forma do art. 101, inciso VII, da Lei n° 8.069/90, </w:t>
      </w:r>
      <w:r w:rsidR="00387F8E">
        <w:rPr>
          <w:color w:val="000000"/>
          <w:sz w:val="27"/>
          <w:szCs w:val="27"/>
        </w:rPr>
        <w:t xml:space="preserve">deverão encaminhar </w:t>
      </w:r>
      <w:r w:rsidRPr="00E842EF">
        <w:rPr>
          <w:color w:val="000000"/>
          <w:sz w:val="27"/>
          <w:szCs w:val="27"/>
        </w:rPr>
        <w:t>o adolescente liberado à Central de Recepção Adhemar Ferreira de Oliveira (Casa da Carioca), situada na Rua Benedito Hipólito, 163, Praça Onze, Centro</w:t>
      </w:r>
      <w:r w:rsidR="00215B14">
        <w:rPr>
          <w:color w:val="000000"/>
          <w:sz w:val="27"/>
          <w:szCs w:val="27"/>
        </w:rPr>
        <w:t>, Rio de Janeiro</w:t>
      </w:r>
      <w:r w:rsidRPr="00E842EF">
        <w:rPr>
          <w:color w:val="000000"/>
          <w:sz w:val="27"/>
          <w:szCs w:val="27"/>
        </w:rPr>
        <w:t>, Tel</w:t>
      </w:r>
      <w:r w:rsidR="00215B14">
        <w:rPr>
          <w:color w:val="000000"/>
          <w:sz w:val="27"/>
          <w:szCs w:val="27"/>
        </w:rPr>
        <w:t>.</w:t>
      </w:r>
      <w:r w:rsidRPr="00E842EF">
        <w:rPr>
          <w:color w:val="000000"/>
          <w:sz w:val="27"/>
          <w:szCs w:val="27"/>
        </w:rPr>
        <w:t>: (21) 98909</w:t>
      </w:r>
      <w:r w:rsidR="00F8156D">
        <w:rPr>
          <w:color w:val="000000"/>
          <w:sz w:val="27"/>
          <w:szCs w:val="27"/>
        </w:rPr>
        <w:t>-</w:t>
      </w:r>
      <w:r w:rsidRPr="00E842EF">
        <w:rPr>
          <w:color w:val="000000"/>
          <w:sz w:val="27"/>
          <w:szCs w:val="27"/>
        </w:rPr>
        <w:t>1437, endereço</w:t>
      </w:r>
      <w:r w:rsidR="00215B14">
        <w:rPr>
          <w:color w:val="000000"/>
          <w:sz w:val="27"/>
          <w:szCs w:val="27"/>
        </w:rPr>
        <w:t>s</w:t>
      </w:r>
      <w:r w:rsidRPr="00E842EF">
        <w:rPr>
          <w:color w:val="000000"/>
          <w:sz w:val="27"/>
          <w:szCs w:val="27"/>
        </w:rPr>
        <w:t xml:space="preserve"> eletrônico</w:t>
      </w:r>
      <w:r w:rsidR="00215B14">
        <w:rPr>
          <w:color w:val="000000"/>
          <w:sz w:val="27"/>
          <w:szCs w:val="27"/>
        </w:rPr>
        <w:t>s</w:t>
      </w:r>
      <w:r w:rsidRPr="00E842EF">
        <w:rPr>
          <w:color w:val="000000"/>
          <w:sz w:val="27"/>
          <w:szCs w:val="27"/>
        </w:rPr>
        <w:t>: </w:t>
      </w:r>
      <w:r w:rsidRPr="003A1C5C">
        <w:rPr>
          <w:sz w:val="27"/>
          <w:szCs w:val="27"/>
        </w:rPr>
        <w:t>centralcarioca.equipetecnica@gmail.com</w:t>
      </w:r>
      <w:r w:rsidRPr="00E842EF">
        <w:rPr>
          <w:color w:val="000000"/>
          <w:sz w:val="27"/>
          <w:szCs w:val="27"/>
        </w:rPr>
        <w:t> ou  </w:t>
      </w:r>
      <w:r w:rsidRPr="003A1C5C">
        <w:rPr>
          <w:sz w:val="27"/>
          <w:szCs w:val="27"/>
        </w:rPr>
        <w:t>centralcarioca@gmail.com</w:t>
      </w:r>
      <w:r w:rsidRPr="00E842EF">
        <w:rPr>
          <w:color w:val="000000"/>
          <w:sz w:val="27"/>
          <w:szCs w:val="27"/>
        </w:rPr>
        <w:t>.</w:t>
      </w:r>
    </w:p>
    <w:p w14:paraId="322E73EB" w14:textId="77777777"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  </w:t>
      </w:r>
    </w:p>
    <w:p w14:paraId="3B21CC13" w14:textId="77777777"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Publique-se e registre-se.</w:t>
      </w:r>
    </w:p>
    <w:p w14:paraId="1A9EB63E" w14:textId="77777777"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 </w:t>
      </w:r>
    </w:p>
    <w:p w14:paraId="55C22AFC" w14:textId="50AA67A4"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 xml:space="preserve">Rio de Janeiro, 08 de </w:t>
      </w:r>
      <w:r w:rsidR="00E842EF" w:rsidRPr="00E842EF">
        <w:rPr>
          <w:color w:val="000000"/>
          <w:sz w:val="27"/>
          <w:szCs w:val="27"/>
        </w:rPr>
        <w:t>s</w:t>
      </w:r>
      <w:r w:rsidRPr="00E842EF">
        <w:rPr>
          <w:color w:val="000000"/>
          <w:sz w:val="27"/>
          <w:szCs w:val="27"/>
        </w:rPr>
        <w:t>etembro de 2021.</w:t>
      </w:r>
    </w:p>
    <w:p w14:paraId="14F7E3CF" w14:textId="77777777"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 </w:t>
      </w:r>
    </w:p>
    <w:p w14:paraId="04EB4303" w14:textId="295E9BE7"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Desembargador </w:t>
      </w:r>
      <w:r w:rsidRPr="00E842EF">
        <w:rPr>
          <w:rStyle w:val="Forte"/>
          <w:color w:val="000000"/>
          <w:sz w:val="27"/>
          <w:szCs w:val="27"/>
        </w:rPr>
        <w:t xml:space="preserve">MARCUS </w:t>
      </w:r>
      <w:r w:rsidR="00E842EF" w:rsidRPr="00E842EF">
        <w:rPr>
          <w:rStyle w:val="Forte"/>
          <w:color w:val="000000"/>
          <w:sz w:val="27"/>
          <w:szCs w:val="27"/>
        </w:rPr>
        <w:t>B</w:t>
      </w:r>
      <w:r w:rsidRPr="00E842EF">
        <w:rPr>
          <w:rStyle w:val="Forte"/>
          <w:color w:val="000000"/>
          <w:sz w:val="27"/>
          <w:szCs w:val="27"/>
        </w:rPr>
        <w:t>ASÍLIO</w:t>
      </w:r>
    </w:p>
    <w:p w14:paraId="50767027" w14:textId="2BEE8B54"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2º Vice-Presidente do T</w:t>
      </w:r>
      <w:r w:rsidR="00E842EF" w:rsidRPr="00E842EF">
        <w:rPr>
          <w:color w:val="000000"/>
          <w:sz w:val="27"/>
          <w:szCs w:val="27"/>
        </w:rPr>
        <w:t>ribunal de Justiça do Estado do Rio de Janeiro</w:t>
      </w:r>
    </w:p>
    <w:p w14:paraId="6AB96C7F" w14:textId="77777777"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 </w:t>
      </w:r>
    </w:p>
    <w:p w14:paraId="6684264A" w14:textId="77777777" w:rsidR="00FF0D60" w:rsidRPr="00E842EF" w:rsidRDefault="00FF0D60" w:rsidP="00FF0D60">
      <w:pPr>
        <w:pStyle w:val="textojustificado"/>
        <w:spacing w:before="120" w:beforeAutospacing="0" w:after="120" w:afterAutospacing="0"/>
        <w:ind w:left="120" w:right="120"/>
        <w:jc w:val="both"/>
        <w:rPr>
          <w:color w:val="000000"/>
          <w:sz w:val="27"/>
          <w:szCs w:val="27"/>
        </w:rPr>
      </w:pPr>
      <w:r w:rsidRPr="00E842EF">
        <w:rPr>
          <w:color w:val="000000"/>
          <w:sz w:val="27"/>
          <w:szCs w:val="27"/>
        </w:rPr>
        <w:t>Desembargador </w:t>
      </w:r>
      <w:r w:rsidRPr="00E842EF">
        <w:rPr>
          <w:rStyle w:val="Forte"/>
          <w:color w:val="000000"/>
          <w:sz w:val="27"/>
          <w:szCs w:val="27"/>
        </w:rPr>
        <w:t>RICARDO RODRIGUES CARDOZO</w:t>
      </w:r>
    </w:p>
    <w:p w14:paraId="0E8948DF" w14:textId="4484270F" w:rsidR="00AB0498" w:rsidRDefault="00FF0D60" w:rsidP="00A556B8">
      <w:pPr>
        <w:pStyle w:val="textojustificado"/>
        <w:spacing w:before="120" w:beforeAutospacing="0" w:after="120" w:afterAutospacing="0"/>
        <w:ind w:left="120" w:right="120"/>
        <w:jc w:val="both"/>
      </w:pPr>
      <w:r w:rsidRPr="00E842EF">
        <w:rPr>
          <w:color w:val="000000"/>
          <w:sz w:val="27"/>
          <w:szCs w:val="27"/>
        </w:rPr>
        <w:t xml:space="preserve">Corregedor-Geral da Justiça do </w:t>
      </w:r>
      <w:r w:rsidR="00E842EF" w:rsidRPr="00E842EF">
        <w:rPr>
          <w:color w:val="000000"/>
          <w:sz w:val="27"/>
          <w:szCs w:val="27"/>
        </w:rPr>
        <w:t>Tribunal de Justiça do Estado do Rio de Janeiro</w:t>
      </w:r>
    </w:p>
    <w:sectPr w:rsidR="00AB0498" w:rsidSect="00BE6E44">
      <w:headerReference w:type="default" r:id="rId7"/>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A23AF" w14:textId="77777777" w:rsidR="009E6EC7" w:rsidRDefault="009E6EC7" w:rsidP="00A556B8">
      <w:pPr>
        <w:spacing w:after="0" w:line="240" w:lineRule="auto"/>
      </w:pPr>
      <w:r>
        <w:separator/>
      </w:r>
    </w:p>
  </w:endnote>
  <w:endnote w:type="continuationSeparator" w:id="0">
    <w:p w14:paraId="2ECCAA5B" w14:textId="77777777" w:rsidR="009E6EC7" w:rsidRDefault="009E6EC7" w:rsidP="00A5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43056" w14:textId="77777777" w:rsidR="009E6EC7" w:rsidRDefault="009E6EC7" w:rsidP="00A556B8">
      <w:pPr>
        <w:spacing w:after="0" w:line="240" w:lineRule="auto"/>
      </w:pPr>
      <w:r>
        <w:separator/>
      </w:r>
    </w:p>
  </w:footnote>
  <w:footnote w:type="continuationSeparator" w:id="0">
    <w:p w14:paraId="649D8E60" w14:textId="77777777" w:rsidR="009E6EC7" w:rsidRDefault="009E6EC7" w:rsidP="00A55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7E629" w14:textId="581940A5" w:rsidR="00A556B8" w:rsidRDefault="00A556B8" w:rsidP="00A556B8">
    <w:pPr>
      <w:pStyle w:val="Cabealho"/>
      <w:jc w:val="center"/>
      <w:rPr>
        <w:b/>
        <w:color w:val="222E72"/>
      </w:rPr>
    </w:pPr>
    <w:r>
      <w:rPr>
        <w:noProof/>
      </w:rPr>
      <w:drawing>
        <wp:inline distT="0" distB="0" distL="0" distR="0" wp14:anchorId="510DBAD4" wp14:editId="16C53D25">
          <wp:extent cx="717550" cy="723900"/>
          <wp:effectExtent l="0" t="0" r="635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5" t="-5" r="-5" b="-5"/>
                  <a:stretch>
                    <a:fillRect/>
                  </a:stretch>
                </pic:blipFill>
                <pic:spPr bwMode="auto">
                  <a:xfrm>
                    <a:off x="0" y="0"/>
                    <a:ext cx="717550" cy="723900"/>
                  </a:xfrm>
                  <a:prstGeom prst="rect">
                    <a:avLst/>
                  </a:prstGeom>
                  <a:solidFill>
                    <a:srgbClr val="FFFFFF">
                      <a:alpha val="0"/>
                    </a:srgbClr>
                  </a:solidFill>
                  <a:ln>
                    <a:noFill/>
                  </a:ln>
                </pic:spPr>
              </pic:pic>
            </a:graphicData>
          </a:graphic>
        </wp:inline>
      </w:drawing>
    </w:r>
  </w:p>
  <w:p w14:paraId="145580BF" w14:textId="77777777" w:rsidR="00A556B8" w:rsidRDefault="00A556B8" w:rsidP="00A556B8">
    <w:pPr>
      <w:pStyle w:val="Cabealho"/>
      <w:jc w:val="center"/>
      <w:rPr>
        <w:rFonts w:ascii="Bookman Old Style" w:hAnsi="Bookman Old Style"/>
        <w:b/>
        <w:color w:val="000000"/>
      </w:rPr>
    </w:pPr>
    <w:r>
      <w:rPr>
        <w:rFonts w:ascii="Bookman Old Style" w:hAnsi="Bookman Old Style"/>
        <w:b/>
        <w:color w:val="000000"/>
      </w:rPr>
      <w:t>Poder Judiciário do Estado do Rio de Janeiro</w:t>
    </w:r>
  </w:p>
  <w:p w14:paraId="2F38EEAA" w14:textId="77777777" w:rsidR="00A556B8" w:rsidRDefault="00A556B8" w:rsidP="00A556B8">
    <w:pPr>
      <w:pStyle w:val="Cabealho"/>
      <w:jc w:val="center"/>
      <w:rPr>
        <w:rFonts w:ascii="Bookman Old Style" w:hAnsi="Bookman Old Style"/>
        <w:b/>
        <w:color w:val="000000"/>
      </w:rPr>
    </w:pPr>
    <w:r>
      <w:rPr>
        <w:rFonts w:ascii="Bookman Old Style" w:hAnsi="Bookman Old Style"/>
        <w:b/>
        <w:color w:val="000000"/>
      </w:rPr>
      <w:t>Corregedoria Geral da justiça</w:t>
    </w:r>
  </w:p>
  <w:p w14:paraId="0221AF10" w14:textId="5A1AFAED" w:rsidR="00A556B8" w:rsidRDefault="00A556B8" w:rsidP="00A556B8">
    <w:pPr>
      <w:pStyle w:val="Cabealho"/>
      <w:jc w:val="center"/>
    </w:pPr>
    <w:r>
      <w:rPr>
        <w:rFonts w:ascii="Bookman Old Style" w:hAnsi="Bookman Old Style"/>
        <w:b/>
        <w:color w:val="000000"/>
      </w:rPr>
      <w:t>Segunda Vice-Presidência</w:t>
    </w:r>
  </w:p>
  <w:p w14:paraId="56070BAC" w14:textId="77777777" w:rsidR="00A556B8" w:rsidRDefault="00A556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6420"/>
    <w:multiLevelType w:val="multilevel"/>
    <w:tmpl w:val="DFAEC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60"/>
    <w:rsid w:val="00215B14"/>
    <w:rsid w:val="00387F8E"/>
    <w:rsid w:val="003A1C5C"/>
    <w:rsid w:val="009E6EC7"/>
    <w:rsid w:val="00A556B8"/>
    <w:rsid w:val="00AB0498"/>
    <w:rsid w:val="00BE6E44"/>
    <w:rsid w:val="00CF70F8"/>
    <w:rsid w:val="00E842EF"/>
    <w:rsid w:val="00F8156D"/>
    <w:rsid w:val="00FF0D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1F59"/>
  <w15:chartTrackingRefBased/>
  <w15:docId w15:val="{DCBDCB05-19FF-4219-B7B6-3980E93B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FF0D60"/>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FF0D60"/>
    <w:rPr>
      <w:b/>
      <w:bCs/>
    </w:rPr>
  </w:style>
  <w:style w:type="paragraph" w:styleId="NormalWeb">
    <w:name w:val="Normal (Web)"/>
    <w:basedOn w:val="Normal"/>
    <w:uiPriority w:val="99"/>
    <w:semiHidden/>
    <w:unhideWhenUsed/>
    <w:rsid w:val="00FF0D60"/>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justificado">
    <w:name w:val="texto_justificado"/>
    <w:basedOn w:val="Normal"/>
    <w:rsid w:val="00FF0D60"/>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FF0D60"/>
    <w:rPr>
      <w:i/>
      <w:iCs/>
    </w:rPr>
  </w:style>
  <w:style w:type="character" w:styleId="Hyperlink">
    <w:name w:val="Hyperlink"/>
    <w:uiPriority w:val="99"/>
    <w:semiHidden/>
    <w:unhideWhenUsed/>
    <w:rsid w:val="00FF0D60"/>
    <w:rPr>
      <w:color w:val="0000FF"/>
      <w:u w:val="single"/>
    </w:rPr>
  </w:style>
  <w:style w:type="paragraph" w:styleId="Cabealho">
    <w:name w:val="header"/>
    <w:basedOn w:val="Normal"/>
    <w:link w:val="CabealhoChar"/>
    <w:uiPriority w:val="99"/>
    <w:unhideWhenUsed/>
    <w:rsid w:val="00A556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56B8"/>
    <w:rPr>
      <w:sz w:val="22"/>
      <w:szCs w:val="22"/>
      <w:lang w:eastAsia="en-US"/>
    </w:rPr>
  </w:style>
  <w:style w:type="paragraph" w:styleId="Rodap">
    <w:name w:val="footer"/>
    <w:basedOn w:val="Normal"/>
    <w:link w:val="RodapChar"/>
    <w:uiPriority w:val="99"/>
    <w:unhideWhenUsed/>
    <w:rsid w:val="00A556B8"/>
    <w:pPr>
      <w:tabs>
        <w:tab w:val="center" w:pos="4252"/>
        <w:tab w:val="right" w:pos="8504"/>
      </w:tabs>
      <w:spacing w:after="0" w:line="240" w:lineRule="auto"/>
    </w:pPr>
  </w:style>
  <w:style w:type="character" w:customStyle="1" w:styleId="RodapChar">
    <w:name w:val="Rodapé Char"/>
    <w:basedOn w:val="Fontepargpadro"/>
    <w:link w:val="Rodap"/>
    <w:uiPriority w:val="99"/>
    <w:rsid w:val="00A556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0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NEMOCO\Desktop\DO-TJERJ%20(com%20o%20bot&#227;o%20formatador)%20Ver1-1%20(5).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DO-TJERJ (com o botão formatador) Ver1-1 (5).dot</Template>
  <TotalTime>46</TotalTime>
  <Pages>2</Pages>
  <Words>679</Words>
  <Characters>3667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PJERJ</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Luciene Ribeiro Moço</dc:creator>
  <cp:keywords/>
  <cp:lastModifiedBy>Luciene Ribeiro Moço</cp:lastModifiedBy>
  <cp:revision>6</cp:revision>
  <dcterms:created xsi:type="dcterms:W3CDTF">2021-09-09T17:05:00Z</dcterms:created>
  <dcterms:modified xsi:type="dcterms:W3CDTF">2021-12-09T21:03:00Z</dcterms:modified>
</cp:coreProperties>
</file>