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B2293" w14:textId="38C40A66" w:rsidR="00AB2EB4" w:rsidRDefault="00AB2EB4" w:rsidP="00AB2EB4">
      <w:pPr>
        <w:pStyle w:val="tabelatextocentralizado"/>
        <w:rPr>
          <w:rStyle w:val="Forte"/>
        </w:rPr>
      </w:pPr>
      <w:r>
        <w:rPr>
          <w:rStyle w:val="Forte"/>
        </w:rPr>
        <w:t>AVISO 2ªVP nº 01/2022</w:t>
      </w:r>
    </w:p>
    <w:p w14:paraId="53CFCF88" w14:textId="77777777" w:rsidR="00AB2EB4" w:rsidRDefault="00AB2EB4" w:rsidP="00AB2EB4">
      <w:pPr>
        <w:pStyle w:val="tabelatextocentralizado"/>
      </w:pPr>
    </w:p>
    <w:p w14:paraId="416A4655" w14:textId="77777777" w:rsidR="00AB2EB4" w:rsidRDefault="00AB2EB4" w:rsidP="00AB2EB4">
      <w:pPr>
        <w:pStyle w:val="tabelatextocentralizado"/>
      </w:pPr>
      <w:r>
        <w:t> </w:t>
      </w:r>
    </w:p>
    <w:p w14:paraId="2518F80F" w14:textId="51E0B47A" w:rsidR="00AB2EB4" w:rsidRDefault="00AB2EB4" w:rsidP="00AB2EB4">
      <w:pPr>
        <w:pStyle w:val="tabelatextoalinhadoesquerda"/>
        <w:spacing w:line="276" w:lineRule="auto"/>
        <w:jc w:val="both"/>
      </w:pPr>
      <w:r>
        <w:rPr>
          <w:u w:val="single"/>
        </w:rPr>
        <w:t>Procedimento Administrativo SEI n° 2021-06117487</w:t>
      </w:r>
      <w:r w:rsidR="00502BD7">
        <w:rPr>
          <w:u w:val="single"/>
        </w:rPr>
        <w:t>.</w:t>
      </w:r>
    </w:p>
    <w:p w14:paraId="49F10E5F" w14:textId="77777777" w:rsidR="00AB2EB4" w:rsidRDefault="00AB2EB4" w:rsidP="00AB2EB4">
      <w:pPr>
        <w:pStyle w:val="tabelatextoalinhadoesquerda"/>
        <w:spacing w:line="276" w:lineRule="auto"/>
        <w:jc w:val="both"/>
      </w:pPr>
      <w:r>
        <w:t> </w:t>
      </w:r>
    </w:p>
    <w:p w14:paraId="71A120EC" w14:textId="77777777" w:rsidR="00AB2EB4" w:rsidRDefault="00AB2EB4" w:rsidP="00AB2EB4">
      <w:pPr>
        <w:pStyle w:val="tabelatextoalinhadoesquerda"/>
        <w:spacing w:line="276" w:lineRule="auto"/>
        <w:jc w:val="both"/>
      </w:pPr>
      <w:r>
        <w:t> </w:t>
      </w:r>
    </w:p>
    <w:p w14:paraId="4D79038E" w14:textId="77777777" w:rsidR="00AB2EB4" w:rsidRDefault="00AB2EB4" w:rsidP="00AB2EB4">
      <w:pPr>
        <w:pStyle w:val="tabelatextoalinhadoesquerda"/>
        <w:spacing w:line="276" w:lineRule="auto"/>
        <w:jc w:val="both"/>
      </w:pPr>
      <w:r>
        <w:t xml:space="preserve">O </w:t>
      </w:r>
      <w:r>
        <w:rPr>
          <w:rStyle w:val="Forte"/>
        </w:rPr>
        <w:t>Desembargador MARCUS HENRIQUE PINTO BASÍLIO,</w:t>
      </w:r>
      <w:r>
        <w:t xml:space="preserve"> </w:t>
      </w:r>
      <w:r>
        <w:rPr>
          <w:rStyle w:val="Forte"/>
        </w:rPr>
        <w:t>2º Vice-Presidente do Tribunal de Justiça do Estado do Rio de Janeiro</w:t>
      </w:r>
      <w:r>
        <w:t xml:space="preserve"> e </w:t>
      </w:r>
      <w:r>
        <w:rPr>
          <w:rStyle w:val="Forte"/>
        </w:rPr>
        <w:t>Supervisor do Grupo de Monitoramento e Fiscalização do Sistema Carcerário – GMF</w:t>
      </w:r>
      <w:r>
        <w:t>, no uso de suas atribuições legais e regimentais;</w:t>
      </w:r>
    </w:p>
    <w:p w14:paraId="368A4850" w14:textId="77777777" w:rsidR="00AB2EB4" w:rsidRDefault="00AB2EB4" w:rsidP="00AB2EB4">
      <w:pPr>
        <w:pStyle w:val="NormalWeb"/>
        <w:spacing w:line="276" w:lineRule="auto"/>
        <w:jc w:val="both"/>
      </w:pPr>
      <w:r>
        <w:t> </w:t>
      </w:r>
    </w:p>
    <w:p w14:paraId="7204E3DA" w14:textId="77777777" w:rsidR="00AB2EB4" w:rsidRDefault="00AB2EB4" w:rsidP="00AB2EB4">
      <w:pPr>
        <w:pStyle w:val="NormalWeb"/>
        <w:spacing w:line="276" w:lineRule="auto"/>
        <w:jc w:val="both"/>
      </w:pPr>
      <w:r>
        <w:rPr>
          <w:rStyle w:val="Forte"/>
        </w:rPr>
        <w:t xml:space="preserve">CONSIDERANDO </w:t>
      </w:r>
      <w:r>
        <w:t xml:space="preserve">que o julgado do </w:t>
      </w:r>
      <w:r>
        <w:rPr>
          <w:rStyle w:val="Forte"/>
        </w:rPr>
        <w:t>Superior Tribunal de Justiça</w:t>
      </w:r>
      <w:r>
        <w:t xml:space="preserve">, de efeito coletivo, no âmbito do </w:t>
      </w:r>
      <w:r>
        <w:rPr>
          <w:rStyle w:val="nfase"/>
          <w:b/>
          <w:bCs/>
        </w:rPr>
        <w:t>Habeas Corpus</w:t>
      </w:r>
      <w:r>
        <w:rPr>
          <w:rStyle w:val="Forte"/>
        </w:rPr>
        <w:t xml:space="preserve"> n° 598.886– SC</w:t>
      </w:r>
      <w:r>
        <w:t xml:space="preserve">, de relatoria do </w:t>
      </w:r>
      <w:r>
        <w:rPr>
          <w:rStyle w:val="Forte"/>
        </w:rPr>
        <w:t xml:space="preserve">Ministro Rogério </w:t>
      </w:r>
      <w:proofErr w:type="spellStart"/>
      <w:r>
        <w:rPr>
          <w:rStyle w:val="Forte"/>
        </w:rPr>
        <w:t>Schietti</w:t>
      </w:r>
      <w:proofErr w:type="spellEnd"/>
      <w:r>
        <w:rPr>
          <w:rStyle w:val="Forte"/>
        </w:rPr>
        <w:t xml:space="preserve"> Cruz</w:t>
      </w:r>
      <w:r>
        <w:t xml:space="preserve">, estipulou que o reconhecimento de pessoa, presencialmente ou por fotografia, realizado na fase do inquérito policial, apenas é apto para identificar o réu e fixar a autoria delitiva, quando observadas as formalidades previstas no art. 226 do Código de Processo Penal e, ainda, quando corroborado por outras provas colhidas na fase judicial, sob o crivo do contraditório e da ampla defesa, </w:t>
      </w:r>
      <w:r>
        <w:rPr>
          <w:rStyle w:val="Forte"/>
        </w:rPr>
        <w:t>sendo determinado que todos os Tribunais de Justiça dos Estados fossem cientificados do teor daquela decisão</w:t>
      </w:r>
      <w:r>
        <w:t>;</w:t>
      </w:r>
    </w:p>
    <w:p w14:paraId="40A60447" w14:textId="77777777" w:rsidR="00AB2EB4" w:rsidRDefault="00AB2EB4" w:rsidP="00AB2EB4">
      <w:pPr>
        <w:pStyle w:val="NormalWeb"/>
        <w:spacing w:line="276" w:lineRule="auto"/>
        <w:jc w:val="both"/>
      </w:pPr>
      <w:r>
        <w:t> </w:t>
      </w:r>
    </w:p>
    <w:p w14:paraId="3BFEE8CB" w14:textId="77777777" w:rsidR="00AB2EB4" w:rsidRDefault="00AB2EB4" w:rsidP="00AB2EB4">
      <w:pPr>
        <w:pStyle w:val="NormalWeb"/>
        <w:spacing w:line="276" w:lineRule="auto"/>
        <w:jc w:val="both"/>
      </w:pPr>
      <w:r>
        <w:rPr>
          <w:rStyle w:val="Forte"/>
        </w:rPr>
        <w:t xml:space="preserve">CONSIDERANDO </w:t>
      </w:r>
      <w:r>
        <w:t>que o referido julgado do Superior Tribunal de Justiça apresentou as seguintes conclusões:</w:t>
      </w:r>
    </w:p>
    <w:p w14:paraId="3D3574C9" w14:textId="77777777" w:rsidR="00AB2EB4" w:rsidRDefault="00AB2EB4" w:rsidP="00AB2EB4">
      <w:pPr>
        <w:pStyle w:val="NormalWeb"/>
        <w:spacing w:line="276" w:lineRule="auto"/>
        <w:jc w:val="both"/>
      </w:pPr>
      <w:r>
        <w:t> </w:t>
      </w:r>
    </w:p>
    <w:p w14:paraId="46CE0FF9" w14:textId="77777777" w:rsidR="00AB2EB4" w:rsidRDefault="00AB2EB4" w:rsidP="00AB2EB4">
      <w:pPr>
        <w:pStyle w:val="NormalWeb"/>
        <w:spacing w:line="276" w:lineRule="auto"/>
        <w:jc w:val="both"/>
      </w:pPr>
      <w:r>
        <w:rPr>
          <w:rStyle w:val="Forte"/>
        </w:rPr>
        <w:t>1)</w:t>
      </w:r>
      <w:r>
        <w:t xml:space="preserve"> O reconhecimento de pessoas deve observar o procedimento previsto no art. 226 do Código de Processo Penal, cujas formalidades constituem garantia mínima para quem se encontra na condição de suspeito da prática de um crime;</w:t>
      </w:r>
    </w:p>
    <w:p w14:paraId="6A478BD6" w14:textId="77777777" w:rsidR="00AB2EB4" w:rsidRDefault="00AB2EB4" w:rsidP="00AB2EB4">
      <w:pPr>
        <w:pStyle w:val="NormalWeb"/>
        <w:spacing w:line="276" w:lineRule="auto"/>
        <w:jc w:val="both"/>
      </w:pPr>
      <w:r>
        <w:rPr>
          <w:rStyle w:val="Forte"/>
        </w:rPr>
        <w:t>2)</w:t>
      </w:r>
      <w:r>
        <w:t xml:space="preserve"> À vista dos efeitos e dos riscos de um reconhecimento falho, a inobservância do procedimento descrito na referida norma processual torna inválido o reconhecimento da pessoa suspeita e não poderá servir de lastro a eventual condenação, mesmo se confirmado o reconhecimento em juízo;</w:t>
      </w:r>
    </w:p>
    <w:p w14:paraId="55CC7C6A" w14:textId="77777777" w:rsidR="00AB2EB4" w:rsidRDefault="00AB2EB4" w:rsidP="00AB2EB4">
      <w:pPr>
        <w:pStyle w:val="NormalWeb"/>
        <w:spacing w:line="276" w:lineRule="auto"/>
        <w:jc w:val="both"/>
      </w:pPr>
      <w:r>
        <w:rPr>
          <w:rStyle w:val="Forte"/>
        </w:rPr>
        <w:t>3)</w:t>
      </w:r>
      <w:r>
        <w:t xml:space="preserve"> Pode o magistrado realizar, em juízo, o ato de reconhecimento formal, desde que observado o devido procedimento probatório, bem como pode ele se convencer da autoria delitiva a partir do exame de outras provas que não guardem relação de causa e efeito com o viciado de conhecimento;</w:t>
      </w:r>
    </w:p>
    <w:p w14:paraId="20CDC906" w14:textId="77777777" w:rsidR="00AB2EB4" w:rsidRDefault="00AB2EB4" w:rsidP="00AB2EB4">
      <w:pPr>
        <w:pStyle w:val="NormalWeb"/>
        <w:spacing w:line="276" w:lineRule="auto"/>
        <w:jc w:val="both"/>
      </w:pPr>
      <w:r>
        <w:rPr>
          <w:rStyle w:val="Forte"/>
        </w:rPr>
        <w:t>4)</w:t>
      </w:r>
      <w:r>
        <w:t xml:space="preserve"> O reconhecimento do suspeito por simples exibição de fotografia(s) ao reconhecedor, a par de dever seguir o mesmo procedimento do reconhecimento pessoal, há de ser visto como etapa antecedente a eventual reconhecimento pessoal e, portanto, não pode servir como prova em ação penal, ainda que confirmado em juízo;</w:t>
      </w:r>
    </w:p>
    <w:p w14:paraId="11A5AED8" w14:textId="77777777" w:rsidR="00AB2EB4" w:rsidRDefault="00AB2EB4" w:rsidP="00AB2EB4">
      <w:pPr>
        <w:pStyle w:val="NormalWeb"/>
        <w:spacing w:line="276" w:lineRule="auto"/>
        <w:jc w:val="both"/>
      </w:pPr>
      <w:r>
        <w:lastRenderedPageBreak/>
        <w:t> </w:t>
      </w:r>
    </w:p>
    <w:p w14:paraId="1C3148C5" w14:textId="77777777" w:rsidR="00AB2EB4" w:rsidRDefault="00AB2EB4" w:rsidP="00AB2EB4">
      <w:pPr>
        <w:pStyle w:val="NormalWeb"/>
        <w:spacing w:line="276" w:lineRule="auto"/>
        <w:jc w:val="both"/>
      </w:pPr>
      <w:r>
        <w:rPr>
          <w:rStyle w:val="Forte"/>
        </w:rPr>
        <w:t>RESOLVE:</w:t>
      </w:r>
    </w:p>
    <w:p w14:paraId="29C17F2A" w14:textId="242278DE" w:rsidR="00AB2EB4" w:rsidRDefault="00AB2EB4" w:rsidP="00AB2EB4">
      <w:pPr>
        <w:pStyle w:val="NormalWeb"/>
        <w:spacing w:line="276" w:lineRule="auto"/>
        <w:jc w:val="both"/>
      </w:pPr>
    </w:p>
    <w:p w14:paraId="7F3840AD" w14:textId="77777777" w:rsidR="00AB2EB4" w:rsidRDefault="00AB2EB4" w:rsidP="00AB2EB4">
      <w:pPr>
        <w:pStyle w:val="NormalWeb"/>
        <w:spacing w:line="276" w:lineRule="auto"/>
        <w:jc w:val="both"/>
      </w:pPr>
      <w:r>
        <w:t xml:space="preserve">Art. 1°. </w:t>
      </w:r>
      <w:r>
        <w:rPr>
          <w:rStyle w:val="Forte"/>
        </w:rPr>
        <w:t>Recomendar</w:t>
      </w:r>
      <w:r>
        <w:t xml:space="preserve"> aos magistrados que reavaliem, com a urgência necessária, as decisões em que a prisão preventiva do acusado foi decretada tão somente com base no reconhecimento fotográfico operado sem a observância do disposto no artigo 226 do CPP, realizado no bojo do procedimento investigatório respectivo, </w:t>
      </w:r>
      <w:r>
        <w:rPr>
          <w:rStyle w:val="Forte"/>
        </w:rPr>
        <w:t>inclusive nos feitos suspensos na forma prevista no artigo 366 do CPP</w:t>
      </w:r>
      <w:r>
        <w:t>.</w:t>
      </w:r>
    </w:p>
    <w:p w14:paraId="2C16258F" w14:textId="133CF227" w:rsidR="00AB2EB4" w:rsidRDefault="00AB2EB4" w:rsidP="00AB2EB4">
      <w:pPr>
        <w:pStyle w:val="NormalWeb"/>
        <w:spacing w:line="276" w:lineRule="auto"/>
        <w:jc w:val="both"/>
      </w:pPr>
    </w:p>
    <w:p w14:paraId="68ABAA66" w14:textId="77777777" w:rsidR="00AB2EB4" w:rsidRDefault="00AB2EB4" w:rsidP="00AB2EB4">
      <w:pPr>
        <w:pStyle w:val="NormalWeb"/>
        <w:spacing w:line="276" w:lineRule="auto"/>
        <w:jc w:val="both"/>
      </w:pPr>
      <w:r>
        <w:t>Art. 2°. A medida ora recomendada deverá vigorar a partir da data sua publicação.</w:t>
      </w:r>
    </w:p>
    <w:p w14:paraId="1CB507E3" w14:textId="5983A70D" w:rsidR="00AB2EB4" w:rsidRDefault="00AB2EB4" w:rsidP="00AB2EB4">
      <w:pPr>
        <w:pStyle w:val="NormalWeb"/>
        <w:spacing w:line="276" w:lineRule="auto"/>
        <w:jc w:val="both"/>
      </w:pPr>
    </w:p>
    <w:p w14:paraId="67FC5A77" w14:textId="77777777" w:rsidR="00AB2EB4" w:rsidRDefault="00AB2EB4" w:rsidP="00AB2EB4">
      <w:pPr>
        <w:pStyle w:val="NormalWeb"/>
        <w:spacing w:line="276" w:lineRule="auto"/>
        <w:jc w:val="both"/>
      </w:pPr>
      <w:r>
        <w:t>Rio de Janeiro, 07 de janeiro de 2022.</w:t>
      </w:r>
    </w:p>
    <w:p w14:paraId="5727809D" w14:textId="2AAC85BA" w:rsidR="00AB2EB4" w:rsidRDefault="00AB2EB4" w:rsidP="00AB2EB4">
      <w:pPr>
        <w:pStyle w:val="NormalWeb"/>
        <w:spacing w:line="276" w:lineRule="auto"/>
        <w:jc w:val="both"/>
      </w:pPr>
    </w:p>
    <w:p w14:paraId="217DEAC4" w14:textId="77777777" w:rsidR="00AB2EB4" w:rsidRDefault="00AB2EB4" w:rsidP="00AB2EB4">
      <w:pPr>
        <w:pStyle w:val="NormalWeb"/>
        <w:spacing w:line="276" w:lineRule="auto"/>
        <w:jc w:val="both"/>
      </w:pPr>
      <w:r>
        <w:t>Desembargador</w:t>
      </w:r>
      <w:r>
        <w:rPr>
          <w:rStyle w:val="Forte"/>
        </w:rPr>
        <w:t xml:space="preserve"> MARCUS HENRIQUE PINTO BASÍLIO</w:t>
      </w:r>
    </w:p>
    <w:p w14:paraId="76A431F9" w14:textId="77777777" w:rsidR="00AB2EB4" w:rsidRDefault="00AB2EB4" w:rsidP="00AB2EB4">
      <w:pPr>
        <w:pStyle w:val="NormalWeb"/>
        <w:spacing w:line="276" w:lineRule="auto"/>
        <w:jc w:val="both"/>
      </w:pPr>
      <w:r>
        <w:rPr>
          <w:rStyle w:val="Forte"/>
        </w:rPr>
        <w:t>2º Vice-Presidente do Tribunal de Justiça do Estado do Rio de Janeiro</w:t>
      </w:r>
    </w:p>
    <w:p w14:paraId="2692F01D" w14:textId="77777777" w:rsidR="00F11F85" w:rsidRPr="00AB2EB4" w:rsidRDefault="00502BD7" w:rsidP="00AB2EB4">
      <w:pPr>
        <w:spacing w:line="276" w:lineRule="auto"/>
        <w:jc w:val="both"/>
      </w:pPr>
    </w:p>
    <w:sectPr w:rsidR="00F11F85" w:rsidRPr="00AB2EB4" w:rsidSect="00AB2EB4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B4"/>
    <w:rsid w:val="00502BD7"/>
    <w:rsid w:val="00544A08"/>
    <w:rsid w:val="006826E0"/>
    <w:rsid w:val="00A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AF74"/>
  <w15:chartTrackingRefBased/>
  <w15:docId w15:val="{EFB900B6-73CC-4F51-ACBA-676B469E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esquerda">
    <w:name w:val="tabela_texto_alinhado_esquerda"/>
    <w:basedOn w:val="Normal"/>
    <w:rsid w:val="00AB2EB4"/>
    <w:pPr>
      <w:spacing w:after="0" w:line="240" w:lineRule="auto"/>
      <w:ind w:left="60" w:right="60"/>
    </w:pPr>
    <w:rPr>
      <w:rFonts w:ascii="Times New Roman" w:eastAsia="Times New Roman" w:hAnsi="Times New Roman" w:cs="Times New Roman"/>
      <w:lang w:eastAsia="pt-BR"/>
    </w:rPr>
  </w:style>
  <w:style w:type="paragraph" w:customStyle="1" w:styleId="tabelatextocentralizado">
    <w:name w:val="tabela_texto_centralizado"/>
    <w:basedOn w:val="Normal"/>
    <w:rsid w:val="00AB2EB4"/>
    <w:pPr>
      <w:spacing w:after="0" w:line="240" w:lineRule="auto"/>
      <w:ind w:left="60" w:right="60"/>
      <w:jc w:val="center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AB2E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B2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Ribeiro Moço</dc:creator>
  <cp:keywords/>
  <dc:description/>
  <cp:lastModifiedBy>Luciene Ribeiro Moço</cp:lastModifiedBy>
  <cp:revision>2</cp:revision>
  <dcterms:created xsi:type="dcterms:W3CDTF">2022-01-10T16:29:00Z</dcterms:created>
  <dcterms:modified xsi:type="dcterms:W3CDTF">2022-01-10T17:00:00Z</dcterms:modified>
</cp:coreProperties>
</file>