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EED0E" w14:textId="77777777" w:rsidR="009A25AE" w:rsidRPr="00460A07" w:rsidRDefault="009A25AE" w:rsidP="00B36928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lang w:eastAsia="pt-BR"/>
        </w:rPr>
        <w:t> </w:t>
      </w:r>
    </w:p>
    <w:p w14:paraId="4D52CE45" w14:textId="77777777" w:rsidR="00D52174" w:rsidRPr="00460A07" w:rsidRDefault="00D52174" w:rsidP="00B36928">
      <w:pPr>
        <w:tabs>
          <w:tab w:val="center" w:pos="4419"/>
          <w:tab w:val="right" w:pos="8838"/>
        </w:tabs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3F0F7C7D" wp14:editId="5027ADD6">
            <wp:extent cx="723900" cy="7334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FFAFD" w14:textId="77777777" w:rsidR="00D52174" w:rsidRPr="00460A07" w:rsidRDefault="00D52174" w:rsidP="00B36928">
      <w:pPr>
        <w:tabs>
          <w:tab w:val="center" w:pos="4419"/>
          <w:tab w:val="right" w:pos="8838"/>
        </w:tabs>
        <w:spacing w:after="0" w:line="276" w:lineRule="auto"/>
        <w:jc w:val="center"/>
        <w:rPr>
          <w:rFonts w:ascii="Arial" w:eastAsia="Batang" w:hAnsi="Arial" w:cs="Arial"/>
          <w:b/>
          <w:color w:val="1F3864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b/>
          <w:noProof/>
          <w:color w:val="1F3864"/>
          <w:sz w:val="24"/>
          <w:szCs w:val="24"/>
          <w:lang w:eastAsia="pt-BR"/>
        </w:rPr>
        <w:t>Poder Judiciário do Estado do Rio de Janeiro</w:t>
      </w:r>
      <w:r w:rsidRPr="00460A07">
        <w:rPr>
          <w:rFonts w:ascii="Arial" w:eastAsia="Batang" w:hAnsi="Arial" w:cs="Arial"/>
          <w:color w:val="1F3864"/>
          <w:sz w:val="24"/>
          <w:szCs w:val="24"/>
          <w:lang w:eastAsia="pt-BR"/>
        </w:rPr>
        <w:t xml:space="preserve"> </w:t>
      </w:r>
    </w:p>
    <w:p w14:paraId="6C0CB883" w14:textId="77777777" w:rsidR="00D52174" w:rsidRPr="00460A07" w:rsidRDefault="00D52174" w:rsidP="00B36928">
      <w:pPr>
        <w:spacing w:after="0" w:line="276" w:lineRule="auto"/>
        <w:jc w:val="center"/>
        <w:rPr>
          <w:rFonts w:ascii="Arial" w:eastAsia="Batang" w:hAnsi="Arial" w:cs="Arial"/>
          <w:b/>
          <w:color w:val="1F3864"/>
          <w:sz w:val="24"/>
          <w:szCs w:val="24"/>
          <w:lang w:eastAsia="pt-BR"/>
        </w:rPr>
      </w:pPr>
      <w:r w:rsidRPr="00460A07">
        <w:rPr>
          <w:rFonts w:ascii="Arial" w:eastAsia="Batang" w:hAnsi="Arial" w:cs="Arial"/>
          <w:b/>
          <w:color w:val="1F3864"/>
          <w:sz w:val="24"/>
          <w:szCs w:val="24"/>
          <w:lang w:eastAsia="pt-BR"/>
        </w:rPr>
        <w:t>Gabinete da 2ª Vice-Presidência</w:t>
      </w:r>
    </w:p>
    <w:p w14:paraId="7217316C" w14:textId="53C360EB" w:rsidR="009A25AE" w:rsidRPr="00460A07" w:rsidRDefault="009A25AE" w:rsidP="00B36928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</w:p>
    <w:p w14:paraId="241D09F1" w14:textId="0913259E" w:rsidR="00D52174" w:rsidRPr="00460A07" w:rsidRDefault="00D52174" w:rsidP="00B36928">
      <w:pPr>
        <w:spacing w:after="0" w:line="276" w:lineRule="auto"/>
        <w:ind w:left="3969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</w:p>
    <w:p w14:paraId="3E96C151" w14:textId="48DC4854" w:rsidR="00D52174" w:rsidRPr="00460A07" w:rsidRDefault="00D52174" w:rsidP="00460A0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Ato Normativo 2</w:t>
      </w:r>
      <w:r w:rsidR="00BE0D5B" w:rsidRPr="00460A0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ª</w:t>
      </w:r>
      <w:r w:rsidRPr="00460A0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VP n° </w:t>
      </w:r>
      <w:r w:rsidR="00460A07" w:rsidRPr="00460A0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05/2021</w:t>
      </w:r>
    </w:p>
    <w:p w14:paraId="16884BEA" w14:textId="05D5182B" w:rsidR="00D52174" w:rsidRPr="00460A07" w:rsidRDefault="00D52174" w:rsidP="00460A07">
      <w:pPr>
        <w:spacing w:after="0" w:line="276" w:lineRule="auto"/>
        <w:ind w:left="3969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</w:p>
    <w:p w14:paraId="1AA760FB" w14:textId="77777777" w:rsidR="00D52174" w:rsidRPr="00460A07" w:rsidRDefault="00D52174" w:rsidP="00460A07">
      <w:pPr>
        <w:spacing w:after="0" w:line="276" w:lineRule="auto"/>
        <w:ind w:left="3969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</w:p>
    <w:p w14:paraId="08769015" w14:textId="1F8DAF8C" w:rsidR="009A25AE" w:rsidRPr="00460A07" w:rsidRDefault="009A25AE" w:rsidP="00460A07">
      <w:pPr>
        <w:spacing w:after="0" w:line="276" w:lineRule="auto"/>
        <w:ind w:left="3969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Estabelece </w:t>
      </w:r>
      <w:r w:rsidR="00E56C39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os p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rocedimentos, no âmbito do Poder Judiciário, para a transferência e o </w:t>
      </w:r>
      <w:proofErr w:type="spell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de pessoas presas.</w:t>
      </w:r>
    </w:p>
    <w:p w14:paraId="199445E9" w14:textId="426E1E3C" w:rsidR="00D410D6" w:rsidRDefault="00D410D6" w:rsidP="00460A07">
      <w:pPr>
        <w:spacing w:after="0" w:line="276" w:lineRule="auto"/>
        <w:ind w:left="3969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</w:p>
    <w:p w14:paraId="158ABDF0" w14:textId="77777777" w:rsidR="00460A07" w:rsidRPr="00460A07" w:rsidRDefault="00460A07" w:rsidP="00460A07">
      <w:pPr>
        <w:spacing w:after="0" w:line="276" w:lineRule="auto"/>
        <w:ind w:left="3969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</w:p>
    <w:p w14:paraId="0A29551A" w14:textId="079B7C37" w:rsidR="00D52174" w:rsidRPr="00460A07" w:rsidRDefault="00E56C39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O SEGUNDO VICE-</w:t>
      </w:r>
      <w:r w:rsidR="009A25AE"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 xml:space="preserve">PRESIDENTE DO </w:t>
      </w: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 xml:space="preserve">TRIBUNAL DE </w:t>
      </w:r>
      <w:r w:rsidR="009A25AE"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JUSTIÇA</w:t>
      </w:r>
      <w:r w:rsidR="009A25A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,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Desembargador Marcus Henrique Pinto Basílio, </w:t>
      </w:r>
      <w:r w:rsidR="00D52174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na qualidade de </w:t>
      </w:r>
      <w:r w:rsidR="00460A07"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 xml:space="preserve">SUPERVISOR DO GRUPO DE MONITORAMENTO E FISCALIZAÇÃO DO SISTEMA </w:t>
      </w:r>
      <w:r w:rsidR="00460A07" w:rsidRPr="00460A0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CARCERÁRIO – GMF –</w:t>
      </w:r>
      <w:r w:rsidR="00D52174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</w:t>
      </w:r>
      <w:r w:rsidR="00D52174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e no uso de suas atribuições legais e regimentais:</w:t>
      </w:r>
    </w:p>
    <w:p w14:paraId="6F957F27" w14:textId="77777777" w:rsidR="00D52174" w:rsidRPr="00460A07" w:rsidRDefault="00D52174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</w:pPr>
    </w:p>
    <w:p w14:paraId="37F64B6A" w14:textId="2693BD2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CONSIDERANDO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 os direitos e garantias fundamentais, especialmente o disposto no art. 5º, XXXV, XLVI, XLVIII, XLIX, LV e LXXVIII da Constituição da República Federativa do Brasil (CRFB/1988), bem como os princípios que regem a administração pública, nos termos do art. 37 da CF/1988;</w:t>
      </w:r>
    </w:p>
    <w:p w14:paraId="0CCC40A3" w14:textId="77777777" w:rsidR="00BE0D5B" w:rsidRPr="00460A07" w:rsidRDefault="00BE0D5B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</w:p>
    <w:p w14:paraId="7EB7E863" w14:textId="684AAA06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CONSIDERANDO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 as disposições dos arts. 289 e 289-A do Código de Processo Penal, que dispõem sobre o cumprimento de mandado de prisão fora da jurisdição do juiz processante, ao qual cabe providenciar a remoção da pessoa presa no prazo máximo de 30 (trinta) dias, contados da efetivação da medida;</w:t>
      </w:r>
    </w:p>
    <w:p w14:paraId="136992BB" w14:textId="77777777" w:rsidR="00D410D6" w:rsidRPr="00460A07" w:rsidRDefault="00D410D6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</w:p>
    <w:p w14:paraId="705B17B8" w14:textId="5FEC2AB9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CONSIDERANDO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 o disposto na Lei nº 7.210, de 11 de julho de 1984 (Lei de Execução Penal), no sentido de que a execução penal tem por objetivo proporcionar condições para a harmônica integração social do condenado,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assegurando-se todos os direitos não atingidos pela sentença, incluído o direito à visita de parentes e amigos e </w:t>
      </w:r>
      <w:r w:rsidR="003A30B6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à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permanência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em local próximo ao seu meio social e familiar (arts. 1º, 3º, 41, 42 e 103);</w:t>
      </w:r>
    </w:p>
    <w:p w14:paraId="1124E1EF" w14:textId="77777777" w:rsidR="00BE0D5B" w:rsidRPr="00460A07" w:rsidRDefault="00BE0D5B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</w:p>
    <w:p w14:paraId="71A9F47D" w14:textId="49BCC94A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CONSIDERANDO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 que a execução penal compete à autoridade judiciária, </w:t>
      </w:r>
      <w:r w:rsidR="002B7D0F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qual incumbe zelar pelo correto cumprimento da pena,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determinar eventual remoção da pessoa condenada e definir o estabelecimento penal adequado para abrigá-la (art. 65; art. 66, III, f, V, g e h, e VI; art. 86, caput e §3º; e art. 194, da Lei nº 7.210/1984);</w:t>
      </w:r>
    </w:p>
    <w:p w14:paraId="3FE04772" w14:textId="77777777" w:rsidR="00BE0D5B" w:rsidRPr="00460A07" w:rsidRDefault="00BE0D5B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</w:p>
    <w:p w14:paraId="6B9DC2D6" w14:textId="5F3966BF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lastRenderedPageBreak/>
        <w:t>CONSIDERANDO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 as Regras Mínimas das Nações Unidas para o Tratamento de Presos - Regras de Mandela -, que dispõem sobre providências relativas à transferência e </w:t>
      </w:r>
      <w:r w:rsidR="00CE6247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ao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transporte de pessoas presas, incluída </w:t>
      </w:r>
      <w:r w:rsidR="00CE6247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informação aos familiares (Regras nº 7, 26, 68 e 73);</w:t>
      </w:r>
    </w:p>
    <w:p w14:paraId="193B5513" w14:textId="77777777" w:rsidR="00BE0D5B" w:rsidRPr="00460A07" w:rsidRDefault="00BE0D5B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</w:p>
    <w:p w14:paraId="1E487D09" w14:textId="143B7DA4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CONSIDERANDO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 o disposto no art. 17.3 da Convenção Internacional para a Proteção de Todas as Pessoas contra o Desaparecimento Forçado, que prevê a manutenção de registros oficiais atualizados das pessoas privadas de liberdade, em especial quanto à transferência para outro local de detenção, ao destino e à autoridade responsável pela transferência;</w:t>
      </w:r>
    </w:p>
    <w:p w14:paraId="494FB7D9" w14:textId="77777777" w:rsidR="00BE0D5B" w:rsidRPr="00460A07" w:rsidRDefault="00BE0D5B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</w:p>
    <w:p w14:paraId="3B10AEFA" w14:textId="5C7974E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CONSIDERANDO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 a Resolução CNJ nº 350, de 27 de outubro de 2020, que estabelece diretrizes e procedimentos sobre a cooperação judiciária nacional entre os órgãos do Poder Judiciário e outras instituições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 entidades, </w:t>
      </w:r>
      <w:r w:rsidR="000970C0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prevê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que a transferência de pessoas presas consiste em ato de cooperação judiciária e </w:t>
      </w:r>
      <w:r w:rsidR="000970C0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determina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que ao Conselho Nacional de Justiça, com o apoio técnico do Departamento de Monitoramento e Fiscalização do Sistema Carcerário e Socioeducativo, cabe propor ato normativo regulamentando </w:t>
      </w:r>
      <w:r w:rsidR="00A632D9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essa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matéria (art. 6º,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XV e parágrafo único);</w:t>
      </w:r>
    </w:p>
    <w:p w14:paraId="276D227F" w14:textId="77777777" w:rsidR="00BE0D5B" w:rsidRPr="00460A07" w:rsidRDefault="00BE0D5B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</w:p>
    <w:p w14:paraId="3494A1D7" w14:textId="5A154C41" w:rsidR="006E4D35" w:rsidRPr="00460A07" w:rsidRDefault="006E4D35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 xml:space="preserve">CONSIDERANDO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 Resolução TJ/OE/RJ n° 08/2021 que cria e regulamenta o Núcleo de Cooperação Judiciária do </w:t>
      </w:r>
      <w:r w:rsidR="005F4862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T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ribunal de Justiça do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Estado do </w:t>
      </w:r>
      <w:r w:rsidR="00A632D9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io de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Janeiro;</w:t>
      </w:r>
    </w:p>
    <w:p w14:paraId="14502A82" w14:textId="77777777" w:rsidR="00BE0D5B" w:rsidRPr="00460A07" w:rsidRDefault="00BE0D5B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</w:p>
    <w:p w14:paraId="4D2FD285" w14:textId="3D2980CC" w:rsidR="005536D1" w:rsidRPr="00460A07" w:rsidRDefault="005536D1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 xml:space="preserve">CONSIDERANDO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 Resolução Conjunta SEAP/SESEG n° 42, de 09 de outubro de 2018, que dispõe sobre a competência da Secretaria de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Estado de Administração Penitenciária para o </w:t>
      </w:r>
      <w:proofErr w:type="spellStart"/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 </w:t>
      </w:r>
      <w:r w:rsidR="00A632D9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escolta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de presos;</w:t>
      </w:r>
    </w:p>
    <w:p w14:paraId="335AA9AD" w14:textId="77777777" w:rsidR="00BE0D5B" w:rsidRPr="00460A07" w:rsidRDefault="00BE0D5B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</w:p>
    <w:p w14:paraId="0A1582D7" w14:textId="0DFC85EB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CONSIDERANDO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 a deliberação do Plenário do CNJ, no Procedimento de Ato Normativo nº 0004354-63.2021.2.00.0000, na 89ª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Sessão Virtual, </w:t>
      </w:r>
      <w:r w:rsidR="00A632D9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encerrada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em 25 de junho de 2021; </w:t>
      </w:r>
    </w:p>
    <w:p w14:paraId="7E575843" w14:textId="77777777" w:rsidR="00D52174" w:rsidRPr="00460A07" w:rsidRDefault="00D52174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</w:pPr>
    </w:p>
    <w:p w14:paraId="7235F424" w14:textId="3AAF9E44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RESOLVE:</w:t>
      </w:r>
    </w:p>
    <w:p w14:paraId="1AE3EAB6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 </w:t>
      </w:r>
    </w:p>
    <w:p w14:paraId="34B015AB" w14:textId="77777777" w:rsidR="009A25AE" w:rsidRPr="00460A07" w:rsidRDefault="009A25AE" w:rsidP="00460A0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Capítulo I</w:t>
      </w:r>
    </w:p>
    <w:p w14:paraId="623C1AE2" w14:textId="77777777" w:rsidR="009A25AE" w:rsidRPr="00460A07" w:rsidRDefault="009A25AE" w:rsidP="00460A0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Disposições Gerais</w:t>
      </w:r>
    </w:p>
    <w:p w14:paraId="36E0412B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 </w:t>
      </w:r>
    </w:p>
    <w:p w14:paraId="5430EC21" w14:textId="2435A9C1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Art. 1º </w:t>
      </w:r>
      <w:r w:rsidR="005F4862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Este Ato </w:t>
      </w:r>
      <w:r w:rsidR="00A632D9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</w:t>
      </w:r>
      <w:r w:rsidR="005F4862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ormativo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estabelece diretrizes e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procedimentos, no âmbito do Poder Judiciário</w:t>
      </w:r>
      <w:r w:rsidR="005F4862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Fluminense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, para a transferência e o </w:t>
      </w:r>
      <w:proofErr w:type="spell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de pessoas presas.</w:t>
      </w:r>
    </w:p>
    <w:p w14:paraId="73DFA233" w14:textId="4E54D1E4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Parágrafo único. </w:t>
      </w:r>
      <w:r w:rsidR="005F4862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O presente Ato Normativo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disciplina a movimentação de pessoas presas entre estabelecimentos prisionais geridos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pelos </w:t>
      </w:r>
      <w:r w:rsidR="005F4862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stados, não se aplicando à transferência e </w:t>
      </w:r>
      <w:r w:rsidR="00A632D9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à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inclusão de pessoas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presas no sistema penitenciário federal.</w:t>
      </w:r>
    </w:p>
    <w:p w14:paraId="655E742A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 </w:t>
      </w:r>
    </w:p>
    <w:p w14:paraId="739B4FFD" w14:textId="511AA749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Art. 2º Para fins dest</w:t>
      </w:r>
      <w:r w:rsidR="005F4862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e Ato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, considera-se:</w:t>
      </w:r>
    </w:p>
    <w:p w14:paraId="285889DC" w14:textId="736FEE4B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lastRenderedPageBreak/>
        <w:t xml:space="preserve">I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transferência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: a movimentação de pessoa presa, do estabelecimento prisional em que se encontra para outro estabelecimento prisional</w:t>
      </w:r>
      <w:r w:rsidR="005F4862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dentro do próprio Sistema Penitenciário do Estado do Rio de Janeiro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;</w:t>
      </w:r>
    </w:p>
    <w:p w14:paraId="67AD7497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II - </w:t>
      </w:r>
      <w:proofErr w:type="spellStart"/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: a movimentação de pessoa presa, do estabelecimento prisional em que se encontra para outro estabelecimento prisional, situado em outra unidade da federação.</w:t>
      </w:r>
    </w:p>
    <w:p w14:paraId="045EC37D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 </w:t>
      </w:r>
    </w:p>
    <w:p w14:paraId="427E44D6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Art. 3º São diretrizes aplicáveis à transferência e ao </w:t>
      </w:r>
      <w:proofErr w:type="spell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de pessoas presas:</w:t>
      </w:r>
    </w:p>
    <w:p w14:paraId="592A8E32" w14:textId="165350AB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I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a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articulação interinstitucional e a cooperação entre os órgãos do Poder Judiciário, nos termos da Resolução </w:t>
      </w:r>
      <w:r w:rsidR="006E4D35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TJ/OE/RJ n° 08/2021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;</w:t>
      </w:r>
    </w:p>
    <w:p w14:paraId="509DF652" w14:textId="2B32BF52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I</w:t>
      </w:r>
      <w:r w:rsidR="00F71D05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I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os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objetivos da execução penal de efetivar as disposições da decisão criminal e de proporcionar condições para a harmônica integração social da pessoa condenada;</w:t>
      </w:r>
    </w:p>
    <w:p w14:paraId="56FF7FAE" w14:textId="0B986DAB" w:rsidR="009A25AE" w:rsidRPr="00460A07" w:rsidRDefault="00F71D05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III</w:t>
      </w:r>
      <w:r w:rsidR="009A25A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- os princípios da dignidade da pessoa humana, legalidade, devido processo legal, contraditório, ampla defesa e duração razoável do processo;</w:t>
      </w:r>
    </w:p>
    <w:p w14:paraId="701D7020" w14:textId="4B969A90" w:rsidR="009A25AE" w:rsidRPr="00460A07" w:rsidRDefault="00F71D05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I</w:t>
      </w:r>
      <w:r w:rsidR="009A25A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V - </w:t>
      </w:r>
      <w:proofErr w:type="gramStart"/>
      <w:r w:rsidR="009A25A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o</w:t>
      </w:r>
      <w:proofErr w:type="gramEnd"/>
      <w:r w:rsidR="009A25A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direito da pessoa presa de permanecer em local próximo ao seu meio social e familiar;</w:t>
      </w:r>
    </w:p>
    <w:p w14:paraId="34636679" w14:textId="349FAB78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V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a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realização da movimentação de pessoas presas de forma a respeitar sua integridade física e moral.</w:t>
      </w:r>
    </w:p>
    <w:p w14:paraId="645F0AB1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 </w:t>
      </w:r>
    </w:p>
    <w:p w14:paraId="6DFCF9BD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 </w:t>
      </w:r>
    </w:p>
    <w:p w14:paraId="1D05BF06" w14:textId="77777777" w:rsidR="009A25AE" w:rsidRPr="00460A07" w:rsidRDefault="009A25AE" w:rsidP="00460A0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Capítulo II</w:t>
      </w:r>
    </w:p>
    <w:p w14:paraId="007E0A4C" w14:textId="77777777" w:rsidR="009A25AE" w:rsidRPr="00460A07" w:rsidRDefault="009A25AE" w:rsidP="00460A0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Da Transferência</w:t>
      </w:r>
    </w:p>
    <w:p w14:paraId="7E5DB32A" w14:textId="2C63DE75" w:rsidR="009A25AE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</w:p>
    <w:p w14:paraId="54BE8792" w14:textId="77777777" w:rsidR="00460A07" w:rsidRPr="00460A07" w:rsidRDefault="00460A07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</w:p>
    <w:p w14:paraId="14FE44FD" w14:textId="5527C02B" w:rsidR="00BB4091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Art. </w:t>
      </w:r>
      <w:r w:rsidR="006E4D35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4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º </w:t>
      </w:r>
      <w:r w:rsidR="00BB4091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 transferência da pessoa presa dentro do Sistema Carcerário Fluminense será de atribuição e no exercício do poder </w:t>
      </w:r>
      <w:r w:rsidR="00BB4091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discricionário da Secretaria de Administração Penitenciária </w:t>
      </w:r>
      <w:r w:rsidR="00062237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(</w:t>
      </w:r>
      <w:r w:rsidR="00BB4091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SEAP/RJ</w:t>
      </w:r>
      <w:r w:rsidR="00062237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)</w:t>
      </w:r>
      <w:r w:rsidR="00BB4091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. </w:t>
      </w:r>
    </w:p>
    <w:p w14:paraId="6F85E5E9" w14:textId="0E98D55C" w:rsidR="002B13DD" w:rsidRPr="00460A07" w:rsidRDefault="002B13DD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§1°. Caberá ao juízo da Vara de Execuções Penais realizar o controle de legalidade das transferências determinadas no âmbito da administração penitenciária.</w:t>
      </w:r>
    </w:p>
    <w:p w14:paraId="1B8E5A46" w14:textId="1C19E854" w:rsidR="002B13DD" w:rsidRPr="00460A07" w:rsidRDefault="00BB4091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§</w:t>
      </w:r>
      <w:r w:rsidR="002B13D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2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°. Caso a pessoa presa </w:t>
      </w:r>
      <w:r w:rsidR="00E91CC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esteja cumprindo pena já com Carta de Execução Tombada, c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aberá </w:t>
      </w:r>
      <w:bookmarkStart w:id="0" w:name="_Hlk82607202"/>
      <w:r w:rsidR="009A25A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ao </w:t>
      </w:r>
      <w:r w:rsidR="006E4D35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juízo da Vara de Execuções Penais </w:t>
      </w:r>
      <w:r w:rsidR="009A25A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decidir sobre os requerimentos de transferência apresentados em juízo</w:t>
      </w:r>
      <w:bookmarkEnd w:id="0"/>
      <w:r w:rsidR="002B13D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;</w:t>
      </w:r>
    </w:p>
    <w:p w14:paraId="4E195111" w14:textId="1A823D6B" w:rsidR="00E91CCE" w:rsidRPr="00460A07" w:rsidRDefault="00E91CC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§</w:t>
      </w:r>
      <w:r w:rsidR="002B13D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3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°. </w:t>
      </w:r>
      <w:bookmarkStart w:id="1" w:name="_Hlk82607853"/>
      <w:r w:rsidR="002B13D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Na hipótese do parágrafo anterior, o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requerimento de transferência e a análise do pedido devem se operar no bojo do processo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de execução em trâmite no Sistema Eletrônico de Execução Unificado </w:t>
      </w:r>
      <w:r w:rsidR="00DD6D70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(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SEEU</w:t>
      </w:r>
      <w:r w:rsidR="00DD6D70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)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bookmarkEnd w:id="1"/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54AEB189" w14:textId="0383A2BD" w:rsidR="002B13DD" w:rsidRPr="00460A07" w:rsidRDefault="00E91CC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§</w:t>
      </w:r>
      <w:r w:rsidR="00B002EF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4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°. </w:t>
      </w:r>
      <w:r w:rsidR="002B13D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Caso a pessoa </w:t>
      </w:r>
      <w:r w:rsidR="00B002EF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esteja </w:t>
      </w:r>
      <w:r w:rsidR="002B13D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presa provisoriamente, sem que haja </w:t>
      </w:r>
      <w:r w:rsidR="00B002EF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o tombamento da </w:t>
      </w:r>
      <w:r w:rsidR="002B13D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Carta de Execução e não haja prévia determinação do juiz da instrução e julgamento</w:t>
      </w:r>
      <w:r w:rsidR="00B002EF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sobre o local de custódia da pessoa presa,</w:t>
      </w:r>
      <w:r w:rsidR="002B13D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</w:t>
      </w:r>
      <w:r w:rsidR="00B002EF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c</w:t>
      </w:r>
      <w:r w:rsidR="002B13D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aberá ao juízo da Vara de Execuções Penais decidir sobre os requerimentos de transferência</w:t>
      </w:r>
      <w:r w:rsidR="00B002EF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;</w:t>
      </w:r>
      <w:r w:rsidR="002B13D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5A88D713" w14:textId="7EDE880D" w:rsidR="00E91CCE" w:rsidRPr="00460A07" w:rsidRDefault="00B002EF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§5°. Na hipótese do parágrafo anterior, o requerimento de transferência deve ser distribuído como procedimento especial junto ao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Sistema Eletrônico de Execução Unificado </w:t>
      </w:r>
      <w:r w:rsidR="00DD6D70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(SEEU).</w:t>
      </w:r>
    </w:p>
    <w:p w14:paraId="3CBF7B66" w14:textId="00BC800B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lang w:eastAsia="pt-BR"/>
        </w:rPr>
        <w:lastRenderedPageBreak/>
        <w:t> </w:t>
      </w:r>
    </w:p>
    <w:p w14:paraId="18EDD50B" w14:textId="655DADB3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Art. </w:t>
      </w:r>
      <w:r w:rsidR="006E4D35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5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º O requerimento de transferência pode ser apresentado:</w:t>
      </w:r>
    </w:p>
    <w:p w14:paraId="7712CA6E" w14:textId="55DDA9D5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I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pela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pessoa presa, por si ou </w:t>
      </w:r>
      <w:bookmarkStart w:id="2" w:name="_Hlk77595641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por advogado constituído ou membro da Defensoria Pública</w:t>
      </w:r>
      <w:bookmarkEnd w:id="2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;</w:t>
      </w:r>
    </w:p>
    <w:p w14:paraId="26ECCA16" w14:textId="25E79BEA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II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pelos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familiares da pessoa presa</w:t>
      </w:r>
      <w:r w:rsidR="006E4D35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</w:t>
      </w:r>
      <w:r w:rsidR="005F4862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representados por </w:t>
      </w:r>
      <w:r w:rsidR="006E4D35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advogado constituído ou membro da Defensoria Pública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;</w:t>
      </w:r>
    </w:p>
    <w:p w14:paraId="651165A9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III - por membro do Ministério Público;</w:t>
      </w:r>
    </w:p>
    <w:p w14:paraId="67760305" w14:textId="1A1AA9E9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IV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pela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diretoria d</w:t>
      </w:r>
      <w:r w:rsidR="00057564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a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unidade prisional;</w:t>
      </w:r>
    </w:p>
    <w:p w14:paraId="355ED5F8" w14:textId="622F824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V </w:t>
      </w:r>
      <w:r w:rsidR="00057564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–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</w:t>
      </w:r>
      <w:r w:rsidR="00057564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elo</w:t>
      </w:r>
      <w:proofErr w:type="gramEnd"/>
      <w:r w:rsidR="00057564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Secretário de Estado de Administração Penitenciária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;</w:t>
      </w:r>
    </w:p>
    <w:p w14:paraId="12436E4D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VI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por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representante de conselho da comunidade, conselho penitenciário ou mecanismo de prevenção e combate à tortura.</w:t>
      </w:r>
    </w:p>
    <w:p w14:paraId="3FEB4655" w14:textId="1C707AC0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§ 1º O procedimento de transferência de pessoa presa pode ser instaurado de ofício, sempre que presente algum dos fundamentos previstos no art. </w:t>
      </w:r>
      <w:r w:rsidR="00057564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6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º da presente Resolução.</w:t>
      </w:r>
    </w:p>
    <w:p w14:paraId="3FF5F3DC" w14:textId="2B968BBE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§ 2º </w:t>
      </w:r>
      <w:bookmarkStart w:id="3" w:name="_Hlk77600215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O requerimento de transferência de pessoa presa pode ser apresentado independentemente do tempo </w:t>
      </w:r>
      <w:r w:rsidR="00EB0931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de encarceramento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no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estabelecimento prisional em que </w:t>
      </w:r>
      <w:r w:rsidR="00DD6D70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essa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se encontra custodiada.</w:t>
      </w:r>
      <w:bookmarkEnd w:id="3"/>
    </w:p>
    <w:p w14:paraId="5999159D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lang w:eastAsia="pt-BR"/>
        </w:rPr>
        <w:t> </w:t>
      </w:r>
    </w:p>
    <w:p w14:paraId="60DF07F1" w14:textId="0A43EAC8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Art. </w:t>
      </w:r>
      <w:r w:rsidR="00057564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6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º A transferência de pessoa presa poderá ser efetuada com fundamento em:</w:t>
      </w:r>
    </w:p>
    <w:p w14:paraId="67409592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I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risco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à vida ou à integridade da pessoa presa;</w:t>
      </w:r>
    </w:p>
    <w:p w14:paraId="33B6E6E5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II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necessidade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de tratamento médico;</w:t>
      </w:r>
    </w:p>
    <w:p w14:paraId="0AC4A567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III - risco à segurança;</w:t>
      </w:r>
    </w:p>
    <w:p w14:paraId="350A1B76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IV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necessidade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de instrução de processo criminal;</w:t>
      </w:r>
    </w:p>
    <w:p w14:paraId="5FCC5CCD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V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necessidade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da administração penitenciária;</w:t>
      </w:r>
    </w:p>
    <w:p w14:paraId="3E1103A2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VI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permanência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da pessoa presa em local próximo ao seu meio social e familiar;</w:t>
      </w:r>
    </w:p>
    <w:p w14:paraId="2DC52B8E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VII - exercício de atividade laborativa ou educacional;</w:t>
      </w:r>
    </w:p>
    <w:p w14:paraId="0024A7ED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VIII - regulação de vagas em função de superlotação ou condições inadequadas de privação de liberdade;</w:t>
      </w:r>
    </w:p>
    <w:p w14:paraId="194AF190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IX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outra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situação excepcional, devidamente demonstrada.</w:t>
      </w:r>
    </w:p>
    <w:p w14:paraId="6B21D935" w14:textId="2F9387D6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Parágrafo único. A transferência de pessoas presas não </w:t>
      </w:r>
      <w:r w:rsidR="00057564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deverá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te</w:t>
      </w:r>
      <w:r w:rsidR="00057564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natureza de sanção administrativa por falta disciplinar, nos termos do art. 53 da Lei de Execução Penal.</w:t>
      </w:r>
    </w:p>
    <w:p w14:paraId="0C96C1CC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lang w:eastAsia="pt-BR"/>
        </w:rPr>
        <w:t> </w:t>
      </w:r>
    </w:p>
    <w:p w14:paraId="0E955840" w14:textId="6DF40653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Art. </w:t>
      </w:r>
      <w:r w:rsidR="00057564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7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º Para os fins do art. </w:t>
      </w:r>
      <w:r w:rsidR="00FC3C5B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6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º, VIII, </w:t>
      </w:r>
      <w:r w:rsidR="00057564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o juiz lotado junto ao juízo da Vara de Execuções </w:t>
      </w:r>
      <w:r w:rsidR="00EB0931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</w:t>
      </w:r>
      <w:r w:rsidR="00057564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enais deverá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considerar a ocupação dos estabelecimentos de origem e destino, de modo a evitar </w:t>
      </w:r>
      <w:proofErr w:type="spell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sobrepopulação</w:t>
      </w:r>
      <w:proofErr w:type="spell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nos espaços de privação de liberdade, riscos à segurança, aumento da insalubridade e a propagação de doenças às pessoas privadas de liberdade e aos agentes que laboram na localidade.</w:t>
      </w:r>
    </w:p>
    <w:p w14:paraId="12673804" w14:textId="7E53EA9E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Parágrafo único.</w:t>
      </w:r>
      <w:r w:rsidR="00057564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A transferência de pessoas presas </w:t>
      </w:r>
      <w:r w:rsidR="00FA11C0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em função de superlotação ou condições inadequadas de privação de liberdade será fundada sempre em relatório de inspeção elaborado pelo juiz da fiscalização lotado no juízo da Vara de Execuções Penais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.</w:t>
      </w:r>
    </w:p>
    <w:p w14:paraId="1CDC9DBD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lang w:eastAsia="pt-BR"/>
        </w:rPr>
        <w:lastRenderedPageBreak/>
        <w:t> </w:t>
      </w:r>
    </w:p>
    <w:p w14:paraId="569C1C8C" w14:textId="5655EDFB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Art. </w:t>
      </w:r>
      <w:r w:rsidR="00FA11C0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8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º O requerimento de transferência será apresentado com as informações essenciais à apreciação do pedido e a respectiva motivação e será autuado como procedimento, com tramitação </w:t>
      </w:r>
      <w:r w:rsidR="00FA11C0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pelo Sistema Eletrônico </w:t>
      </w:r>
      <w:r w:rsidR="00FA11C0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de Execução Unificado </w:t>
      </w:r>
      <w:r w:rsidR="0082651B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(SEEU).</w:t>
      </w:r>
    </w:p>
    <w:p w14:paraId="22E250C9" w14:textId="48181C68" w:rsidR="009A25AE" w:rsidRPr="00460A07" w:rsidRDefault="005D498C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Parágrafo único. </w:t>
      </w:r>
      <w:r w:rsidR="009A25A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O direito de petição da pessoa presa será </w:t>
      </w:r>
      <w:r w:rsidR="009A25AE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assegurado de maneira efetiva, cabendo ao </w:t>
      </w:r>
      <w:r w:rsidR="00FA11C0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juízo da Vara </w:t>
      </w:r>
      <w:r w:rsidR="001A0A73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</w:t>
      </w:r>
      <w:r w:rsidR="00FA11C0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 Execuções </w:t>
      </w:r>
      <w:r w:rsidR="00FA11C0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Penais </w:t>
      </w:r>
      <w:r w:rsidR="009A25A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processar os requerimentos de transferência, observados os direitos de acesso à justiça e à assistência judiciária gratuita, bem como a instrumentalidade das formas.</w:t>
      </w:r>
    </w:p>
    <w:p w14:paraId="5F41F394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lang w:eastAsia="pt-BR"/>
        </w:rPr>
        <w:t> </w:t>
      </w:r>
    </w:p>
    <w:p w14:paraId="002A5654" w14:textId="2D194939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Art. </w:t>
      </w:r>
      <w:r w:rsidR="00FA11C0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9º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. A tramitação do procedimento de transferência de pessoa presa contemplará:</w:t>
      </w:r>
    </w:p>
    <w:p w14:paraId="733E74A8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I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manifestação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do Ministério Público e da defesa técnica, quando não tiverem apresentado o requerimento;</w:t>
      </w:r>
    </w:p>
    <w:p w14:paraId="3E0E4E50" w14:textId="72FD4749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II </w:t>
      </w:r>
      <w:r w:rsidR="00FA11C0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–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gramStart"/>
      <w:r w:rsidR="00FA11C0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declaração</w:t>
      </w:r>
      <w:proofErr w:type="gramEnd"/>
      <w:r w:rsidR="00FA11C0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expressa da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pessoa presa, sempre que não for a requerente, zelando-se pela livre manifestação de sua vontade</w:t>
      </w:r>
      <w:r w:rsidR="00FA11C0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, desde que a transferência seja em prol de seus interesses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;</w:t>
      </w:r>
    </w:p>
    <w:p w14:paraId="45DF2FE6" w14:textId="09E8C655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III - consulta </w:t>
      </w:r>
      <w:r w:rsidR="00FA11C0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à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FA11C0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Secretaria de Estado de </w:t>
      </w:r>
      <w:r w:rsidR="001A0A73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dministração </w:t>
      </w:r>
      <w:r w:rsidR="001A0A73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enitenciária;</w:t>
      </w:r>
    </w:p>
    <w:p w14:paraId="1E3D666B" w14:textId="0FA4B592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IV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direito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de informação da pessoa presa, do requerente e dos demais órgãos da execução penal</w:t>
      </w:r>
      <w:r w:rsidR="008F1CE2" w:rsidRPr="00460A07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pt-BR"/>
        </w:rPr>
        <w:t xml:space="preserve">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sobre o andamento do requerimento.</w:t>
      </w:r>
    </w:p>
    <w:p w14:paraId="348EE4DF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Parágrafo único. A publicidade do procedimento de transferência poderá ser restringida, em hipóteses excepcionais, a fim de resguardar a segurança da pessoa presa.</w:t>
      </w:r>
    </w:p>
    <w:p w14:paraId="68EF1C38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 </w:t>
      </w:r>
    </w:p>
    <w:p w14:paraId="381A8F0C" w14:textId="7FAFA4D3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Art. 1</w:t>
      </w:r>
      <w:r w:rsidR="005D498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0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. A decisão </w:t>
      </w:r>
      <w:r w:rsidR="005D498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judicial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que apreciar o requerimento de transferência de pessoa presa deverá ser fundamentada, com análise das questões de fato e de direito.</w:t>
      </w:r>
    </w:p>
    <w:p w14:paraId="6DEE9F1E" w14:textId="6F3F55FD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§ 1º A autoridade judiciária determinará a intimação do requerente, da pessoa presa</w:t>
      </w:r>
      <w:r w:rsidR="00EB0931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, por si ou </w:t>
      </w:r>
      <w:r w:rsidR="00117B9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por meio de </w:t>
      </w:r>
      <w:r w:rsidR="005D498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su</w:t>
      </w:r>
      <w:r w:rsidR="00EB0931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a</w:t>
      </w:r>
      <w:r w:rsidR="005D498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</w:t>
      </w:r>
      <w:r w:rsidR="00EB0931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defesa técnica,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</w:t>
      </w:r>
      <w:r w:rsidR="005D498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e do </w:t>
      </w:r>
      <w:r w:rsidR="005D498C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membro do </w:t>
      </w:r>
      <w:r w:rsidR="00493B2A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</w:t>
      </w:r>
      <w:r w:rsidR="005D498C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inistério </w:t>
      </w:r>
      <w:r w:rsidR="00493B2A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</w:t>
      </w:r>
      <w:r w:rsidR="005D498C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úblico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para ciência da decisão.</w:t>
      </w:r>
    </w:p>
    <w:p w14:paraId="111EB190" w14:textId="1D4BFC0C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§ 2º Na hipótese de deferimento d</w:t>
      </w:r>
      <w:r w:rsidR="00D52174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o pedido de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transferência</w:t>
      </w:r>
      <w:r w:rsidR="00D52174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da pessoa presa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, a autoridade judiciária comunicará </w:t>
      </w:r>
      <w:r w:rsidR="00B002EF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à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</w:t>
      </w:r>
      <w:r w:rsidR="005D498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S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ecretaria de </w:t>
      </w:r>
      <w:r w:rsidR="005D498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E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stado </w:t>
      </w:r>
      <w:r w:rsidR="005D498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de Administração Penitenciária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para </w:t>
      </w:r>
      <w:r w:rsidR="008A5026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cumprimento da ordem judicial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, com o traslado de seu prontuário médico e bens pessoais</w:t>
      </w:r>
      <w:r w:rsidR="005D498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, registrando </w:t>
      </w:r>
      <w:r w:rsidR="005D498C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obrigatoriamente </w:t>
      </w:r>
      <w:r w:rsidR="00B002EF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no Sistema de Identificação Penitenciária </w:t>
      </w:r>
      <w:r w:rsidR="008A166B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–</w:t>
      </w:r>
      <w:r w:rsidR="00B002EF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SIPEN</w:t>
      </w:r>
      <w:r w:rsidR="008A166B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– </w:t>
      </w:r>
      <w:r w:rsidR="005D498C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</w:t>
      </w:r>
      <w:r w:rsidR="005D498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unidade prisional de entrada da pessoa presa transferida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.</w:t>
      </w:r>
    </w:p>
    <w:p w14:paraId="618EA63F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 </w:t>
      </w:r>
    </w:p>
    <w:p w14:paraId="388C9CEC" w14:textId="72944FD0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Art. 1</w:t>
      </w:r>
      <w:r w:rsidR="005D498C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1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. Em situações excepcionais, nas quais </w:t>
      </w:r>
      <w:r w:rsidR="00D1611F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esteja</w:t>
      </w:r>
      <w:r w:rsidR="004C16EE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configurado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iminente risco à vida e à segurança</w:t>
      </w:r>
      <w:r w:rsidR="00117B9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da pessoa presa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, é possível a apreciação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 </w:t>
      </w:r>
      <w:r w:rsidR="00D1611F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o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deferimento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de requerimento de transferência, sem a adoção prévia das providências de que trata o </w:t>
      </w:r>
      <w:r w:rsidR="00117B9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§ 1º do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art. 10.</w:t>
      </w:r>
    </w:p>
    <w:p w14:paraId="056CE201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 </w:t>
      </w:r>
    </w:p>
    <w:p w14:paraId="3D26F2CA" w14:textId="56F5273B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Art. 1</w:t>
      </w:r>
      <w:r w:rsidR="00117B9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2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. O controle judicial de legalidade das transferências determinadas no âmbito da administração penitenciária será realizado à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luz das diretrizes e </w:t>
      </w:r>
      <w:r w:rsidR="00D1611F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dos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princípios elencados no art. 3º d</w:t>
      </w:r>
      <w:r w:rsidR="00117B9E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presente </w:t>
      </w:r>
      <w:r w:rsidR="00117B9E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Ato </w:t>
      </w:r>
      <w:r w:rsidR="00117B9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Normativo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.</w:t>
      </w:r>
    </w:p>
    <w:p w14:paraId="5DA947E4" w14:textId="5B843F95" w:rsidR="009A25AE" w:rsidRPr="00460A07" w:rsidRDefault="001D110D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lastRenderedPageBreak/>
        <w:t xml:space="preserve">Parágrafo único. O </w:t>
      </w:r>
      <w:r w:rsidR="009A25A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controle judicial poderá ser provocado pelos interessados de que trata o art.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5</w:t>
      </w:r>
      <w:r w:rsidR="009A25A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º, I, II, III e VI, d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o</w:t>
      </w:r>
      <w:r w:rsidR="009A25A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presente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Ato</w:t>
      </w:r>
      <w:r w:rsidR="009A25A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, observado o disposto no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parágrafo único do art. 8º</w:t>
      </w:r>
      <w:r w:rsidR="009A25A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.</w:t>
      </w:r>
    </w:p>
    <w:p w14:paraId="4237D523" w14:textId="0E59EFFF" w:rsidR="009A25AE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 </w:t>
      </w:r>
    </w:p>
    <w:p w14:paraId="2B58B3AC" w14:textId="77777777" w:rsidR="00460A07" w:rsidRPr="00460A07" w:rsidRDefault="00460A07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</w:p>
    <w:p w14:paraId="72F87B59" w14:textId="77777777" w:rsidR="009A25AE" w:rsidRPr="00460A07" w:rsidRDefault="009A25AE" w:rsidP="00460A0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Capítulo III</w:t>
      </w:r>
    </w:p>
    <w:p w14:paraId="41A10B27" w14:textId="74E82A50" w:rsidR="009A25AE" w:rsidRPr="00460A07" w:rsidRDefault="009A25AE" w:rsidP="00460A0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 xml:space="preserve">Do </w:t>
      </w:r>
      <w:proofErr w:type="spellStart"/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</w:p>
    <w:p w14:paraId="5A35C0E4" w14:textId="1DFF1B9F" w:rsidR="009A25AE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</w:p>
    <w:p w14:paraId="5ED35DE1" w14:textId="77777777" w:rsidR="00460A07" w:rsidRPr="00460A07" w:rsidRDefault="00460A07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</w:p>
    <w:p w14:paraId="5B35CFFB" w14:textId="0F92DCB1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Art. 1</w:t>
      </w:r>
      <w:r w:rsidR="001D110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3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. O </w:t>
      </w:r>
      <w:proofErr w:type="spell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de pessoas presas será </w:t>
      </w:r>
      <w:r w:rsidR="001D110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apreciado e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de</w:t>
      </w:r>
      <w:r w:rsidR="001D110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cidido pelo juiz auxiliar da Segunda Vice-Presidência do Tribunal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, </w:t>
      </w:r>
      <w:r w:rsidR="001D110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que contará com o apoio da Rede Nacional de Cooperação Judiciária, instituída pela Resolução TJ/OE n° 08/2021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.</w:t>
      </w:r>
    </w:p>
    <w:p w14:paraId="10293EE1" w14:textId="74C35917" w:rsidR="001D110D" w:rsidRDefault="008A5026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Parágrafo único.  Caso haja ação penal em desfavor da pessoa a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ser recambiada em trâmite </w:t>
      </w:r>
      <w:r w:rsidR="00B42F2F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no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TJRJ, a decisão sobre o </w:t>
      </w:r>
      <w:proofErr w:type="spell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levará em conta obrigatoriamente a manifestação do juiz natural. </w:t>
      </w:r>
    </w:p>
    <w:p w14:paraId="053DB115" w14:textId="77777777" w:rsidR="00460A07" w:rsidRPr="00460A07" w:rsidRDefault="00460A07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</w:p>
    <w:p w14:paraId="4DE7D923" w14:textId="64ECA9E6" w:rsidR="00CD3436" w:rsidRPr="00460A07" w:rsidRDefault="00CD3436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Art. 14 O </w:t>
      </w:r>
      <w:proofErr w:type="spell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de pessoa presa poderá ser efetuad</w:t>
      </w:r>
      <w:r w:rsidR="008A5026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o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</w:t>
      </w:r>
      <w:r w:rsidR="00D03B5A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c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om fundamento em:</w:t>
      </w:r>
    </w:p>
    <w:p w14:paraId="4BE96D5D" w14:textId="42515D27" w:rsidR="00CD3436" w:rsidRPr="00460A07" w:rsidRDefault="00CD3436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I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necessidade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de instrução do processo criminal;</w:t>
      </w:r>
    </w:p>
    <w:p w14:paraId="3C1F8953" w14:textId="31F212B9" w:rsidR="00CD3436" w:rsidRPr="00460A07" w:rsidRDefault="00CD3436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II –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cumprimento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da pena no local onde tramita a sua execução penal ou onde se dará a unificação das penas impostas por juízos de Tribunais distintos;</w:t>
      </w:r>
    </w:p>
    <w:p w14:paraId="322D3203" w14:textId="04D0B970" w:rsidR="00CD3436" w:rsidRPr="00460A07" w:rsidRDefault="00CD3436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III - permanência da pessoa presa em local próximo ao seu meio social e familiar;</w:t>
      </w:r>
    </w:p>
    <w:p w14:paraId="0AE465C6" w14:textId="7FFB0157" w:rsidR="00CD3436" w:rsidRPr="00460A07" w:rsidRDefault="00CD3436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IV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exercício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de atividade laborativa ou educacional;</w:t>
      </w:r>
    </w:p>
    <w:p w14:paraId="4B98EAC7" w14:textId="7F9A45D7" w:rsidR="00CD3436" w:rsidRPr="00460A07" w:rsidRDefault="00CD3436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V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outra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situação excepcional, devidamente demonstrada.</w:t>
      </w:r>
    </w:p>
    <w:p w14:paraId="4473BFD1" w14:textId="4A0605C0" w:rsidR="00CD3436" w:rsidRPr="00460A07" w:rsidRDefault="00CD3436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Parágrafo único. O </w:t>
      </w:r>
      <w:proofErr w:type="spell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de pessoas presas não deverá ter natureza de sanção administrativa por falta disciplinar, nos termos do art. 53 da Lei de Execução Penal.</w:t>
      </w:r>
    </w:p>
    <w:p w14:paraId="641770A9" w14:textId="724A0265" w:rsidR="00CD3436" w:rsidRPr="00460A07" w:rsidRDefault="00CD3436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</w:p>
    <w:p w14:paraId="7E59B6E6" w14:textId="5DF69E1A" w:rsidR="00CD3436" w:rsidRPr="00460A07" w:rsidRDefault="00CD3436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Art. 15 O requerimento de </w:t>
      </w:r>
      <w:proofErr w:type="spell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pode ser apresentado:</w:t>
      </w:r>
    </w:p>
    <w:p w14:paraId="40532BA3" w14:textId="3D79B62D" w:rsidR="00CD3436" w:rsidRPr="00460A07" w:rsidRDefault="00CD3436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I –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pelo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ju</w:t>
      </w:r>
      <w:r w:rsidR="00CC7739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ízo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responsável pela </w:t>
      </w:r>
      <w:r w:rsidR="00CC7739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ordem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de prisão que motivou o seu recolhimento ao cárcere;</w:t>
      </w:r>
    </w:p>
    <w:p w14:paraId="4D7A9F80" w14:textId="54AFC493" w:rsidR="00CD3436" w:rsidRPr="00460A07" w:rsidRDefault="00CD3436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II –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pelo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juiz responsável pela gestão da unidade prisional onde </w:t>
      </w:r>
      <w:r w:rsidR="00CC7739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 pessoa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pres</w:t>
      </w:r>
      <w:r w:rsidR="00CC7739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a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se encontra custodiad</w:t>
      </w:r>
      <w:r w:rsidR="00CC7739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a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;</w:t>
      </w:r>
    </w:p>
    <w:p w14:paraId="51BDD74B" w14:textId="23AF5553" w:rsidR="00CD3436" w:rsidRPr="00460A07" w:rsidRDefault="00CD3436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III - por membro do Ministério Público </w:t>
      </w:r>
      <w:r w:rsidR="00000472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com atribuição no órgão de fiscalização do sistema prisional que </w:t>
      </w:r>
      <w:r w:rsidR="00CC7739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a</w:t>
      </w:r>
      <w:r w:rsidR="00000472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</w:t>
      </w:r>
      <w:r w:rsidR="00CC7739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pessoa </w:t>
      </w:r>
      <w:r w:rsidR="00000472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pres</w:t>
      </w:r>
      <w:r w:rsidR="00CC7739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a</w:t>
      </w:r>
      <w:r w:rsidR="00000472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se encontra custodiad</w:t>
      </w:r>
      <w:r w:rsidR="00CC7739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a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;</w:t>
      </w:r>
    </w:p>
    <w:p w14:paraId="0B031823" w14:textId="212B1B22" w:rsidR="00000472" w:rsidRPr="00460A07" w:rsidRDefault="00000472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IV –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pela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pessoa presa, por si ou por sua defesa técnica; </w:t>
      </w:r>
    </w:p>
    <w:p w14:paraId="7AF9323B" w14:textId="57D74751" w:rsidR="00CD3436" w:rsidRPr="00460A07" w:rsidRDefault="00CD3436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V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pela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</w:t>
      </w:r>
      <w:r w:rsidR="00E47BD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autoridade administrativa responsável pela unidade prisional </w:t>
      </w:r>
      <w:r w:rsidR="00000472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onde a pessoa presa se encontra custodiada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;</w:t>
      </w:r>
    </w:p>
    <w:p w14:paraId="45090768" w14:textId="7452AB88" w:rsidR="00CD3436" w:rsidRPr="00460A07" w:rsidRDefault="00CD3436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V</w:t>
      </w:r>
      <w:r w:rsidR="00000472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I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–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pel</w:t>
      </w:r>
      <w:r w:rsidR="00000472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a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Secret</w:t>
      </w:r>
      <w:r w:rsidR="00E47BD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a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ri</w:t>
      </w:r>
      <w:r w:rsidR="00000472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a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</w:t>
      </w:r>
      <w:r w:rsidR="00000472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ou Órgão responsável pela Administração Penitenciária do Estado da Federação onde a pessoa presa se encontra custodiada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;</w:t>
      </w:r>
    </w:p>
    <w:p w14:paraId="066DF1EF" w14:textId="373E9D61" w:rsidR="00CD3436" w:rsidRPr="00460A07" w:rsidRDefault="00CD3436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VI</w:t>
      </w:r>
      <w:r w:rsidR="00000472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I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</w:t>
      </w:r>
      <w:r w:rsidR="00000472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–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</w:t>
      </w:r>
      <w:r w:rsidR="00000472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pela Secretaria de Administração Penitenciária do Estado do Rio de Janeiro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.</w:t>
      </w:r>
    </w:p>
    <w:p w14:paraId="78286E06" w14:textId="4DAF2BB9" w:rsidR="00432E3D" w:rsidRPr="00460A07" w:rsidRDefault="00432E3D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lastRenderedPageBreak/>
        <w:t xml:space="preserve">Parágrafo único. O requerimento de </w:t>
      </w:r>
      <w:proofErr w:type="spell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de pessoa presa pode ser apresentado independentemente do tempo de permanência no estabelecimento prisional em que se encontra custodiada.</w:t>
      </w:r>
    </w:p>
    <w:p w14:paraId="542D339E" w14:textId="65222550" w:rsidR="00432E3D" w:rsidRPr="00460A07" w:rsidRDefault="00432E3D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</w:p>
    <w:p w14:paraId="5F4F2A17" w14:textId="7E0A77CA" w:rsidR="00432E3D" w:rsidRPr="00460A07" w:rsidRDefault="00432E3D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Art. 16 O requerimento de </w:t>
      </w:r>
      <w:proofErr w:type="spell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será apresentado com as informações essenciais à apreciação do pedido e a respectiva motivação e será autuado como procedimento administrativo junto à Assessoria de Informações e Processamento em Matéria Criminal – ASCRI, com tramitação pelo Sistema Eletrônico de Informações </w:t>
      </w:r>
      <w:r w:rsidR="005810E9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–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SE</w:t>
      </w:r>
      <w:r w:rsidR="003821E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I</w:t>
      </w:r>
      <w:r w:rsidR="005810E9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, que providenciará a juntada dos documentos necessários à análise do pedido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.</w:t>
      </w:r>
    </w:p>
    <w:p w14:paraId="2C451A88" w14:textId="19F04285" w:rsidR="003821EC" w:rsidRPr="00460A07" w:rsidRDefault="003821EC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§ 1º O requerimento de </w:t>
      </w:r>
      <w:proofErr w:type="spell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de pessoa presa deverá ser dirigido à Assessoria de Informações e Processamento em Matéria Criminal – ASCRI por meio do endereço eletrônico: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2vp.ascri@tjrj.jus.br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.</w:t>
      </w:r>
    </w:p>
    <w:p w14:paraId="7B0EA93E" w14:textId="765FF35E" w:rsidR="00432E3D" w:rsidRPr="00460A07" w:rsidRDefault="003821EC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§ 2º </w:t>
      </w:r>
      <w:r w:rsidR="00432E3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O direito de petição da pessoa presa será assegurado de maneira efetiva, cabendo </w:t>
      </w:r>
      <w:r w:rsidR="005810E9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à Assessoria de Informações e Processamento em Matéria Criminal – ASCRI encaminh</w:t>
      </w:r>
      <w:r w:rsidR="00D03B5A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á-lo</w:t>
      </w:r>
      <w:r w:rsidR="005810E9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devidamente instruído </w:t>
      </w:r>
      <w:r w:rsidR="00432E3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ao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gabinete do juiz auxiliar da </w:t>
      </w:r>
      <w:r w:rsidR="00D03B5A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S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egunda </w:t>
      </w:r>
      <w:r w:rsidR="00D03B5A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V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ice-</w:t>
      </w:r>
      <w:r w:rsidR="00D03B5A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residência</w:t>
      </w:r>
      <w:r w:rsidR="00432E3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</w:t>
      </w:r>
      <w:r w:rsidR="00D03B5A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do Tribunal </w:t>
      </w:r>
      <w:r w:rsidR="005810E9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para a prolação de decisão fundamentada </w:t>
      </w:r>
      <w:r w:rsidR="00D03B5A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sobre o </w:t>
      </w:r>
      <w:proofErr w:type="spell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="00432E3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, observados os direitos de acesso à justiça e à assistência judiciária gratuita, bem como a instrumentalidade das formas.</w:t>
      </w:r>
    </w:p>
    <w:p w14:paraId="7C7F9725" w14:textId="77777777" w:rsidR="00432E3D" w:rsidRPr="00460A07" w:rsidRDefault="00432E3D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lang w:eastAsia="pt-BR"/>
        </w:rPr>
        <w:t> </w:t>
      </w:r>
    </w:p>
    <w:p w14:paraId="45D66EBC" w14:textId="47B7122B" w:rsidR="00432E3D" w:rsidRPr="00460A07" w:rsidRDefault="00432E3D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Art. </w:t>
      </w:r>
      <w:r w:rsidR="003821E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17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. A tramitação do procedimento de </w:t>
      </w:r>
      <w:proofErr w:type="spellStart"/>
      <w:r w:rsidR="005810E9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="005810E9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de pessoa presa contemplará:</w:t>
      </w:r>
    </w:p>
    <w:p w14:paraId="4E630BB8" w14:textId="54CD51F9" w:rsidR="00432E3D" w:rsidRPr="00460A07" w:rsidRDefault="00432E3D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I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manifestação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do </w:t>
      </w:r>
      <w:r w:rsidR="003821E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juiz lotado junto ao juízo da Vara de </w:t>
      </w:r>
      <w:r w:rsidR="003821EC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Execuções Penais</w:t>
      </w:r>
      <w:r w:rsidR="005810E9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quando o </w:t>
      </w:r>
      <w:proofErr w:type="spellStart"/>
      <w:r w:rsidR="005810E9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="005810E9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implicar </w:t>
      </w:r>
      <w:r w:rsidR="00B42F2F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 </w:t>
      </w:r>
      <w:r w:rsidR="00D52174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transferência </w:t>
      </w:r>
      <w:r w:rsidR="005810E9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da </w:t>
      </w:r>
      <w:r w:rsidR="005810E9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execução da pena</w:t>
      </w:r>
      <w:r w:rsidR="00D52174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(art. 86 da lei n° 7.210/1984)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;</w:t>
      </w:r>
    </w:p>
    <w:p w14:paraId="32A0A8DF" w14:textId="466AA705" w:rsidR="00E47BDD" w:rsidRPr="00460A07" w:rsidRDefault="00E47BDD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II –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manifestação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do juiz natural, caso haja ação penal em trâmite no TJRJ em desfavor da pessoa presa a ser recambiada; </w:t>
      </w:r>
    </w:p>
    <w:p w14:paraId="067822D3" w14:textId="44E83C72" w:rsidR="003821EC" w:rsidRPr="00460A07" w:rsidRDefault="00E47BDD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I</w:t>
      </w:r>
      <w:r w:rsidR="00432E3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II – declaração expressa da pessoa presa</w:t>
      </w:r>
      <w:r w:rsidR="00D03B5A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,</w:t>
      </w:r>
      <w:r w:rsidR="00432E3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sempre que não for a </w:t>
      </w:r>
      <w:r w:rsidR="00432E3D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requerente </w:t>
      </w:r>
      <w:r w:rsidR="003821EC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 o pedido </w:t>
      </w:r>
      <w:r w:rsidR="00377E56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de </w:t>
      </w:r>
      <w:proofErr w:type="spellStart"/>
      <w:r w:rsidR="003821EC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="003821EC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se fundar na </w:t>
      </w:r>
      <w:r w:rsidR="005810E9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sua </w:t>
      </w:r>
      <w:r w:rsidR="003821EC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permanência em </w:t>
      </w:r>
      <w:r w:rsidR="003821E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local próximo ao seu meio social e familiar ou para o exercício de atividade laborativa ou educacional;</w:t>
      </w:r>
    </w:p>
    <w:p w14:paraId="5C05649C" w14:textId="41D3C1E8" w:rsidR="00432E3D" w:rsidRPr="00460A07" w:rsidRDefault="00432E3D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I</w:t>
      </w:r>
      <w:r w:rsidR="00E47BDD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V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consulta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à Secretaria de Estado de </w:t>
      </w:r>
      <w:r w:rsidR="003821E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A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dministração </w:t>
      </w:r>
      <w:r w:rsidR="003821E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enitenciária;</w:t>
      </w:r>
    </w:p>
    <w:p w14:paraId="55F1AA75" w14:textId="38615FF4" w:rsidR="00432E3D" w:rsidRPr="00460A07" w:rsidRDefault="00432E3D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V - </w:t>
      </w:r>
      <w:proofErr w:type="gram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direito</w:t>
      </w:r>
      <w:proofErr w:type="gram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de informação da pessoa presa, do requerente e dos demais órgãos da execução penal sobre o andamento do requerimento.</w:t>
      </w:r>
    </w:p>
    <w:p w14:paraId="33253906" w14:textId="6957069B" w:rsidR="00432E3D" w:rsidRPr="00460A07" w:rsidRDefault="00432E3D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Parágrafo único. A publicidade do procedimento de </w:t>
      </w:r>
      <w:proofErr w:type="spellStart"/>
      <w:r w:rsidR="005810E9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="005810E9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poderá ser restringida, em hipóteses excepcionais, a fim de resguardar a segurança da pessoa presa.</w:t>
      </w:r>
    </w:p>
    <w:p w14:paraId="0A0CA944" w14:textId="32490BC9" w:rsidR="00C566E0" w:rsidRPr="00460A07" w:rsidRDefault="00C566E0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</w:p>
    <w:p w14:paraId="791AF8B1" w14:textId="3B85089D" w:rsidR="00C566E0" w:rsidRPr="00460A07" w:rsidRDefault="00C566E0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Art. 18. A decisão que apreciar o requerimento de </w:t>
      </w:r>
      <w:proofErr w:type="spell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de pessoa presa deverá ser devidamente fundamentada.</w:t>
      </w:r>
    </w:p>
    <w:p w14:paraId="71260C2B" w14:textId="066F3D56" w:rsidR="00C566E0" w:rsidRPr="00460A07" w:rsidRDefault="00C566E0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§ 1º Dar-se-á ciência da decisão de </w:t>
      </w:r>
      <w:proofErr w:type="spell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ao requerente,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ao</w:t>
      </w:r>
      <w:r w:rsidR="008D333A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juízo</w:t>
      </w:r>
      <w:r w:rsidR="00D6477E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emitente</w:t>
      </w:r>
      <w:r w:rsidR="00D6477E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da</w:t>
      </w:r>
      <w:r w:rsidR="00D6477E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orde</w:t>
      </w:r>
      <w:r w:rsidR="00D6477E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ns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de prisão</w:t>
      </w:r>
      <w:r w:rsidR="00D6477E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 recaiam sobre a pessoa presa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à Secretaria ou ao Órgão de Administração Penitenciária responsável pela gestão da unidade prisional onde a pessoa presa se encontra ou será recambiada e à Secretaria de Administração Penitenciária do Estado do Rio de Janeiro.</w:t>
      </w:r>
    </w:p>
    <w:p w14:paraId="4F8D7320" w14:textId="4FEDF6B2" w:rsidR="00C566E0" w:rsidRPr="00460A07" w:rsidRDefault="00C566E0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lastRenderedPageBreak/>
        <w:t xml:space="preserve">§2º O </w:t>
      </w:r>
      <w:proofErr w:type="spellStart"/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da pessoa presa implicará </w:t>
      </w:r>
      <w:r w:rsidR="00834B58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o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traslado de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seu prontuário médico e dos bens pessoais e o registro obrigatório da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localização do preso no Sistema de Identificação Penitenciária </w:t>
      </w:r>
      <w:r w:rsidR="00423ED8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(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SIPEN</w:t>
      </w:r>
      <w:r w:rsidR="00423ED8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)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</w:p>
    <w:p w14:paraId="0D2CED28" w14:textId="77777777" w:rsidR="001D110D" w:rsidRPr="00460A07" w:rsidRDefault="001D110D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</w:p>
    <w:p w14:paraId="3A78B244" w14:textId="03DA97D4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</w:p>
    <w:p w14:paraId="4DF28444" w14:textId="77777777" w:rsidR="009A25AE" w:rsidRPr="00460A07" w:rsidRDefault="009A25AE" w:rsidP="00460A0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bookmarkStart w:id="4" w:name="_Hlk77601844"/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Capítulo IV</w:t>
      </w:r>
    </w:p>
    <w:p w14:paraId="6BC913D2" w14:textId="77777777" w:rsidR="009A25AE" w:rsidRPr="00460A07" w:rsidRDefault="009A25AE" w:rsidP="00460A0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Do Transporte</w:t>
      </w:r>
    </w:p>
    <w:bookmarkEnd w:id="4"/>
    <w:p w14:paraId="1C0A4771" w14:textId="73FF4673" w:rsidR="009A25AE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 </w:t>
      </w:r>
    </w:p>
    <w:p w14:paraId="233EB0F3" w14:textId="77777777" w:rsidR="00460A07" w:rsidRPr="00460A07" w:rsidRDefault="00460A07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</w:p>
    <w:p w14:paraId="220FE0F0" w14:textId="31F37271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bookmarkStart w:id="5" w:name="_Hlk77601931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Art. 1</w:t>
      </w:r>
      <w:r w:rsidR="00BB4091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9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. As transferências e </w:t>
      </w:r>
      <w:r w:rsidR="00D6477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os </w:t>
      </w:r>
      <w:proofErr w:type="spell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recambiamentos</w:t>
      </w:r>
      <w:proofErr w:type="spell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serão realizados de forma a respeitar a dignidade e integridade física e moral das pessoas presas</w:t>
      </w:r>
      <w:r w:rsidR="0061290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.</w:t>
      </w:r>
    </w:p>
    <w:bookmarkEnd w:id="5"/>
    <w:p w14:paraId="56352EC7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§ 1º Será efetuado o registro da data, da hora de saída do estabelecimento de origem e da hora de chegada no estabelecimento de destino.</w:t>
      </w:r>
    </w:p>
    <w:p w14:paraId="6D5842A7" w14:textId="38076EB3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§ </w:t>
      </w:r>
      <w:r w:rsidR="00E15C7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2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º O disposto neste artigo aplica-se ao transporte em caso de transferência que decorra da alteração de regime de cumprimento de pena, bem como ao traslado de pessoas presas para</w:t>
      </w:r>
      <w:r w:rsidR="00E15C7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unidades hospitalares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.</w:t>
      </w:r>
    </w:p>
    <w:p w14:paraId="4F00FF7A" w14:textId="7455D69D" w:rsidR="00E15C7E" w:rsidRPr="00460A07" w:rsidRDefault="00E15C7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</w:p>
    <w:p w14:paraId="1C174970" w14:textId="4468FFAA" w:rsidR="00E15C7E" w:rsidRPr="00460A07" w:rsidRDefault="00E15C7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</w:p>
    <w:p w14:paraId="1F781A88" w14:textId="26DCEFF0" w:rsidR="00E15C7E" w:rsidRPr="00460A07" w:rsidRDefault="00E15C7E" w:rsidP="00460A0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Capítulo V</w:t>
      </w:r>
    </w:p>
    <w:p w14:paraId="5D9E8EE6" w14:textId="26D4493F" w:rsidR="00E15C7E" w:rsidRPr="00460A07" w:rsidRDefault="00E15C7E" w:rsidP="00460A0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 xml:space="preserve">Dos Responsáveis pelo </w:t>
      </w:r>
      <w:proofErr w:type="spellStart"/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</w:p>
    <w:p w14:paraId="390AB248" w14:textId="6A663711" w:rsidR="00E15C7E" w:rsidRPr="00460A07" w:rsidRDefault="00E15C7E" w:rsidP="00460A0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</w:p>
    <w:p w14:paraId="6E5B68E1" w14:textId="43D37A8C" w:rsidR="00E15C7E" w:rsidRPr="00460A07" w:rsidRDefault="00E15C7E" w:rsidP="00460A0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</w:p>
    <w:p w14:paraId="4ACA6939" w14:textId="627EC9DE" w:rsidR="00E15C7E" w:rsidRPr="00460A07" w:rsidRDefault="00E15C7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Art. </w:t>
      </w:r>
      <w:r w:rsidR="00BB4091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20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. Após a prolação da decisão de deferimento do </w:t>
      </w:r>
      <w:proofErr w:type="spell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, as tratativas e a concretização do ato deverão se operacionalizar entre a Secretaria ou Órgão de Administração Penitenciária </w:t>
      </w:r>
      <w:r w:rsidR="0061290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do ente federativo responsável pela unidade prisional onde a pessoa presa se encontra acautelada ou será recambiada e a Secretaria de Administração Penitenciária do Estado do Rio de Janeiro.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2249700A" w14:textId="7B1F889F" w:rsidR="0061290C" w:rsidRPr="00460A07" w:rsidRDefault="0061290C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§1º Competirá a </w:t>
      </w:r>
      <w:r w:rsidR="00D6477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S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ecretaria de </w:t>
      </w:r>
      <w:r w:rsidR="00D03B5A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E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stado de Administração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Penitenciária do Estado do Rio de Janeiro – SEAP/RJ</w:t>
      </w:r>
      <w:r w:rsidR="00CB41A3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–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o </w:t>
      </w:r>
      <w:proofErr w:type="spellStart"/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 escolta de pessoas presas, custodiadas em outras Unidades da Federação,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desde que seja</w:t>
      </w:r>
      <w:r w:rsidR="00CB41A3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do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interesse do juízo </w:t>
      </w:r>
      <w:r w:rsidR="00D6477E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com </w:t>
      </w:r>
      <w:r w:rsidR="00D6477E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competência criminal ou da execução penal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do Tribunal de Justiça do Estado do Rio de Janeiro, nos termos do art. 1º da Resolução conjunta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SEAP/SESEG n° 42, de 09 de outubro de 2018</w:t>
      </w:r>
      <w:r w:rsidR="00CB41A3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</w:p>
    <w:p w14:paraId="750C665E" w14:textId="1FEE4CEC" w:rsidR="0061290C" w:rsidRPr="00460A07" w:rsidRDefault="0061290C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§2º Caso o requerimento de </w:t>
      </w:r>
      <w:proofErr w:type="spellStart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seja oriundo de outro Estado da Federação, competirá a </w:t>
      </w:r>
      <w:r w:rsidR="00D03B5A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respectiva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Secretaria ou Órgão de </w:t>
      </w:r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Administração Penitenciária providenciar e custear o </w:t>
      </w:r>
      <w:proofErr w:type="spellStart"/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recambiamento</w:t>
      </w:r>
      <w:proofErr w:type="spellEnd"/>
      <w:r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 </w:t>
      </w:r>
      <w:r w:rsidR="00A14636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escolta da pessoa presa. </w:t>
      </w:r>
    </w:p>
    <w:p w14:paraId="0BF83B57" w14:textId="77777777" w:rsidR="0061290C" w:rsidRPr="00460A07" w:rsidRDefault="0061290C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</w:p>
    <w:p w14:paraId="23111B9C" w14:textId="77777777" w:rsidR="00E15C7E" w:rsidRPr="00460A07" w:rsidRDefault="00E15C7E" w:rsidP="00460A0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</w:p>
    <w:p w14:paraId="5A61A55E" w14:textId="6D69EDB5" w:rsidR="009A25AE" w:rsidRPr="00460A07" w:rsidRDefault="009A25AE" w:rsidP="00460A0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Capítulo V</w:t>
      </w:r>
      <w:r w:rsidR="0061290C"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I</w:t>
      </w:r>
    </w:p>
    <w:p w14:paraId="6F11DD3D" w14:textId="77777777" w:rsidR="009A25AE" w:rsidRPr="00460A07" w:rsidRDefault="009A25AE" w:rsidP="00460A0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Disposições finais e transitórias</w:t>
      </w:r>
    </w:p>
    <w:p w14:paraId="1B61620D" w14:textId="124FA835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 </w:t>
      </w:r>
    </w:p>
    <w:p w14:paraId="14F4ACF5" w14:textId="77777777" w:rsidR="00BE0D5B" w:rsidRPr="00460A07" w:rsidRDefault="00BE0D5B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</w:p>
    <w:p w14:paraId="13B6EB71" w14:textId="6593F6DA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lastRenderedPageBreak/>
        <w:t xml:space="preserve">Art. </w:t>
      </w:r>
      <w:r w:rsidR="00BB4091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2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1. O acompanhamento do cumprimento dest</w:t>
      </w:r>
      <w:r w:rsidR="0061290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e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</w:t>
      </w:r>
      <w:r w:rsidR="0061290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Ato Normativo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contará com o apoio técnico do </w:t>
      </w:r>
      <w:r w:rsidR="0061290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Grupo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de Monitoramento e Fiscalização do Sistema Carcerário e do Sistema de Execução de Medidas Socioeducativas do </w:t>
      </w:r>
      <w:r w:rsidR="0061290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Tribunal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de Justiça (</w:t>
      </w:r>
      <w:r w:rsidR="0061290C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G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MF).</w:t>
      </w:r>
      <w:r w:rsidR="00A14636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6B7307E5" w14:textId="77777777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 </w:t>
      </w:r>
    </w:p>
    <w:p w14:paraId="773C3C57" w14:textId="521024BF" w:rsidR="009A25AE" w:rsidRPr="00460A07" w:rsidRDefault="009A25AE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Art. </w:t>
      </w:r>
      <w:r w:rsidR="00BB4091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22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. Est</w:t>
      </w:r>
      <w:r w:rsidR="00DB6053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e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</w:t>
      </w:r>
      <w:r w:rsidR="00DB6053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Ato </w:t>
      </w:r>
      <w:r w:rsidR="00A14636" w:rsidRPr="00460A0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</w:t>
      </w:r>
      <w:r w:rsidR="00DB6053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ormativo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entra</w:t>
      </w:r>
      <w:r w:rsidR="00DB6053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rá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em vigor n</w:t>
      </w:r>
      <w:r w:rsidR="00DB6053"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o dia seguinte à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 data de sua publicação.</w:t>
      </w:r>
    </w:p>
    <w:p w14:paraId="184418EB" w14:textId="371727D4" w:rsidR="00DB6053" w:rsidRDefault="00DB6053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</w:p>
    <w:p w14:paraId="0E5FC9C8" w14:textId="77777777" w:rsidR="00460A07" w:rsidRPr="00460A07" w:rsidRDefault="00460A07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</w:p>
    <w:p w14:paraId="49800693" w14:textId="42CD857E" w:rsidR="00DB6053" w:rsidRPr="00460A07" w:rsidRDefault="00DB6053" w:rsidP="00460A0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Rio de Janeiro, </w:t>
      </w:r>
      <w:r w:rsid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23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de </w:t>
      </w:r>
      <w:r w:rsid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setembro </w:t>
      </w: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>de 2021.</w:t>
      </w:r>
    </w:p>
    <w:p w14:paraId="4F891D67" w14:textId="61582851" w:rsidR="00DB6053" w:rsidRPr="00460A07" w:rsidRDefault="00DB6053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</w:p>
    <w:p w14:paraId="0E0F8C50" w14:textId="77777777" w:rsidR="00BB4091" w:rsidRPr="00460A07" w:rsidRDefault="00BB4091" w:rsidP="00460A07">
      <w:pPr>
        <w:spacing w:after="0" w:line="276" w:lineRule="auto"/>
        <w:ind w:firstLine="1134"/>
        <w:jc w:val="both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</w:p>
    <w:p w14:paraId="6FDAB321" w14:textId="5B29914C" w:rsidR="00DB6053" w:rsidRPr="00460A07" w:rsidRDefault="00DB6053" w:rsidP="00460A0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color w:val="0A0002"/>
          <w:sz w:val="24"/>
          <w:szCs w:val="24"/>
          <w:bdr w:val="none" w:sz="0" w:space="0" w:color="auto" w:frame="1"/>
          <w:lang w:eastAsia="pt-BR"/>
        </w:rPr>
        <w:t xml:space="preserve">Desembargador </w:t>
      </w: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MARCUS BASÍLIO</w:t>
      </w:r>
    </w:p>
    <w:p w14:paraId="3416DE98" w14:textId="324D7A43" w:rsidR="00DB6053" w:rsidRPr="00460A07" w:rsidRDefault="00DB6053" w:rsidP="00460A0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</w:pPr>
      <w:r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>Segundo Vice-Presidente</w:t>
      </w:r>
      <w:r w:rsidR="00BB4091" w:rsidRPr="00460A07">
        <w:rPr>
          <w:rFonts w:ascii="Arial" w:eastAsia="Times New Roman" w:hAnsi="Arial" w:cs="Arial"/>
          <w:b/>
          <w:bCs/>
          <w:color w:val="0A0002"/>
          <w:sz w:val="24"/>
          <w:szCs w:val="24"/>
          <w:bdr w:val="none" w:sz="0" w:space="0" w:color="auto" w:frame="1"/>
          <w:lang w:eastAsia="pt-BR"/>
        </w:rPr>
        <w:t xml:space="preserve"> do Tribunal de Justiça do Estado do Rio de Janeiro e Supervisor do Grupo de Monitoramento e Fiscalização do Sistema Carcerário - GMF</w:t>
      </w:r>
    </w:p>
    <w:p w14:paraId="57BBD635" w14:textId="77777777" w:rsidR="00A514FF" w:rsidRPr="00460A07" w:rsidRDefault="00A514FF" w:rsidP="00B3692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A514FF" w:rsidRPr="00460A07" w:rsidSect="00460A07"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AB49F" w14:textId="77777777" w:rsidR="007649D6" w:rsidRDefault="007649D6" w:rsidP="009A25AE">
      <w:pPr>
        <w:spacing w:after="0" w:line="240" w:lineRule="auto"/>
      </w:pPr>
      <w:r>
        <w:separator/>
      </w:r>
    </w:p>
  </w:endnote>
  <w:endnote w:type="continuationSeparator" w:id="0">
    <w:p w14:paraId="4D80E604" w14:textId="77777777" w:rsidR="007649D6" w:rsidRDefault="007649D6" w:rsidP="009A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D86A2" w14:textId="77777777" w:rsidR="00460A07" w:rsidRDefault="00460A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EE838" w14:textId="77777777" w:rsidR="007649D6" w:rsidRDefault="007649D6" w:rsidP="009A25AE">
      <w:pPr>
        <w:spacing w:after="0" w:line="240" w:lineRule="auto"/>
      </w:pPr>
      <w:r>
        <w:separator/>
      </w:r>
    </w:p>
  </w:footnote>
  <w:footnote w:type="continuationSeparator" w:id="0">
    <w:p w14:paraId="4B54A096" w14:textId="77777777" w:rsidR="007649D6" w:rsidRDefault="007649D6" w:rsidP="009A2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DA0285"/>
    <w:multiLevelType w:val="multilevel"/>
    <w:tmpl w:val="B0A2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AE"/>
    <w:rsid w:val="00000472"/>
    <w:rsid w:val="00057564"/>
    <w:rsid w:val="00062237"/>
    <w:rsid w:val="000970C0"/>
    <w:rsid w:val="000E55DA"/>
    <w:rsid w:val="00117B9E"/>
    <w:rsid w:val="001405D1"/>
    <w:rsid w:val="00187780"/>
    <w:rsid w:val="001A0A73"/>
    <w:rsid w:val="001D110D"/>
    <w:rsid w:val="00233321"/>
    <w:rsid w:val="002536A5"/>
    <w:rsid w:val="002B13DD"/>
    <w:rsid w:val="002B7D0F"/>
    <w:rsid w:val="00377E56"/>
    <w:rsid w:val="003821EC"/>
    <w:rsid w:val="003A30B6"/>
    <w:rsid w:val="003A5444"/>
    <w:rsid w:val="003D0930"/>
    <w:rsid w:val="00423ED8"/>
    <w:rsid w:val="00432E3D"/>
    <w:rsid w:val="00460A07"/>
    <w:rsid w:val="00493B2A"/>
    <w:rsid w:val="004B3854"/>
    <w:rsid w:val="004C16EE"/>
    <w:rsid w:val="004D71F5"/>
    <w:rsid w:val="005001DD"/>
    <w:rsid w:val="00542752"/>
    <w:rsid w:val="005536D1"/>
    <w:rsid w:val="005810E9"/>
    <w:rsid w:val="005C54C8"/>
    <w:rsid w:val="005D498C"/>
    <w:rsid w:val="005F4862"/>
    <w:rsid w:val="0061290C"/>
    <w:rsid w:val="006E4D35"/>
    <w:rsid w:val="00717F56"/>
    <w:rsid w:val="00752CE7"/>
    <w:rsid w:val="007649D6"/>
    <w:rsid w:val="007B3A5A"/>
    <w:rsid w:val="0082651B"/>
    <w:rsid w:val="00834B58"/>
    <w:rsid w:val="008A166B"/>
    <w:rsid w:val="008A5026"/>
    <w:rsid w:val="008D333A"/>
    <w:rsid w:val="008F1CE2"/>
    <w:rsid w:val="00990E6A"/>
    <w:rsid w:val="009A25AE"/>
    <w:rsid w:val="009D33E5"/>
    <w:rsid w:val="00A14636"/>
    <w:rsid w:val="00A514FF"/>
    <w:rsid w:val="00A632D9"/>
    <w:rsid w:val="00A7004A"/>
    <w:rsid w:val="00B002EF"/>
    <w:rsid w:val="00B31FAF"/>
    <w:rsid w:val="00B36928"/>
    <w:rsid w:val="00B42F2F"/>
    <w:rsid w:val="00B50DF1"/>
    <w:rsid w:val="00BB4091"/>
    <w:rsid w:val="00BE0D5B"/>
    <w:rsid w:val="00C566E0"/>
    <w:rsid w:val="00C64AFF"/>
    <w:rsid w:val="00CA565A"/>
    <w:rsid w:val="00CB41A3"/>
    <w:rsid w:val="00CC7739"/>
    <w:rsid w:val="00CD3436"/>
    <w:rsid w:val="00CE6247"/>
    <w:rsid w:val="00D03B5A"/>
    <w:rsid w:val="00D1611F"/>
    <w:rsid w:val="00D410D6"/>
    <w:rsid w:val="00D52174"/>
    <w:rsid w:val="00D6477E"/>
    <w:rsid w:val="00DA1E81"/>
    <w:rsid w:val="00DB6053"/>
    <w:rsid w:val="00DD6D70"/>
    <w:rsid w:val="00E04698"/>
    <w:rsid w:val="00E15C7E"/>
    <w:rsid w:val="00E47BDD"/>
    <w:rsid w:val="00E56C39"/>
    <w:rsid w:val="00E827AD"/>
    <w:rsid w:val="00E91CCE"/>
    <w:rsid w:val="00EB0931"/>
    <w:rsid w:val="00EB27B1"/>
    <w:rsid w:val="00F71D05"/>
    <w:rsid w:val="00FA11C0"/>
    <w:rsid w:val="00F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93F9"/>
  <w15:chartTrackingRefBased/>
  <w15:docId w15:val="{EEE44691-86FD-4C84-BD03-2887F9ED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5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5AE"/>
  </w:style>
  <w:style w:type="paragraph" w:styleId="Rodap">
    <w:name w:val="footer"/>
    <w:basedOn w:val="Normal"/>
    <w:link w:val="RodapChar"/>
    <w:uiPriority w:val="99"/>
    <w:unhideWhenUsed/>
    <w:rsid w:val="009A25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5AE"/>
  </w:style>
  <w:style w:type="paragraph" w:styleId="NormalWeb">
    <w:name w:val="Normal (Web)"/>
    <w:basedOn w:val="Normal"/>
    <w:uiPriority w:val="99"/>
    <w:rsid w:val="00E56C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821E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2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0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07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1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7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2873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Juiz Marcelo Oliveira da Silva</dc:creator>
  <cp:keywords/>
  <dc:description/>
  <cp:lastModifiedBy>Luciene Ribeiro Moço</cp:lastModifiedBy>
  <cp:revision>3</cp:revision>
  <cp:lastPrinted>2021-07-20T14:27:00Z</cp:lastPrinted>
  <dcterms:created xsi:type="dcterms:W3CDTF">2021-09-23T15:43:00Z</dcterms:created>
  <dcterms:modified xsi:type="dcterms:W3CDTF">2021-09-23T15:51:00Z</dcterms:modified>
</cp:coreProperties>
</file>